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MMMM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MMMM</w:t>
      </w:r>
    </w:p>
    <w:p>
      <w:r>
        <w:t>Client Name: m</w:t>
      </w:r>
    </w:p>
    <w:p>
      <w:r>
        <w:t>Capacity: m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BS_B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