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sz w:val="32"/>
        </w:rPr>
        <w:t xml:space="preserve">Pair 1 — Day 3 Implementation Report</w:t>
      </w:r>
    </w:p>
    <w:p>
      <w:r>
        <w:rPr>
          <w:sz w:val="24"/>
          <w:b/>
        </w:rPr>
        <w:t xml:space="preserve">TriB-FNN Recreation | CNN-only, BiLSTM-only, and GRU-only baselines</w:t>
      </w:r>
    </w:p>
    <w:p>
      <w:r>
        <w:rPr>
          <w:sz w:val="22"/>
        </w:rPr>
        <w:t xml:space="preserve">Date: 21 September 2026</w:t>
      </w:r>
    </w:p>
    <w:p>
      <w:r>
        <w:rPr>
          <w:sz w:val="22"/>
        </w:rPr>
        <w:t xml:space="preserve">Status: Day 3 baseline implementation completed; quick training evidence recorded.</w:t>
      </w:r>
    </w:p>
    <w:p>
      <w:pPr>
        <w:pStyle w:val="Heading1"/>
      </w:pPr>
      <w:r>
        <w:rPr>
          <w:sz w:val="22"/>
        </w:rPr>
        <w:t xml:space="preserve">1. What Day 3 required</w:t>
      </w:r>
    </w:p>
    <w:p>
      <w:r>
        <w:rPr>
          <w:sz w:val="22"/>
        </w:rPr>
        <w:t xml:space="preserve">The sprint plan asks Pair 1 to finish three standalone, trainable baseline models: CNN-only, BiLSTM-only, and GRU-only. Each model must include an embedding layer, its sequence-processing block, pooling, a fully connected classifier, and an output suitable for multiclass training. Each model must then receive a quick training pass and have rough validation accuracy recorded. These baselines are needed later for the ablation study: they provide a comparison against the complete CNN → BiLSTM → GRU fused model.</w:t>
      </w:r>
    </w:p>
    <w:p>
      <w:pPr>
        <w:pStyle w:val="Heading1"/>
      </w:pPr>
      <w:r>
        <w:rPr>
          <w:sz w:val="22"/>
        </w:rPr>
        <w:t xml:space="preserve">2. Implementation completed</w:t>
      </w:r>
    </w:p>
    <w:p>
      <w:pPr>
        <w:pStyle w:val="ListBullet"/>
      </w:pPr>
      <w:r>
        <w:rPr>
          <w:sz w:val="22"/>
        </w:rPr>
        <w:t xml:space="preserve">Added model/baseline_models.py with CNNClassifier, BiLSTMClassifier, and GRUClassifier.</w:t>
      </w:r>
    </w:p>
    <w:p>
      <w:pPr>
        <w:pStyle w:val="ListBullet"/>
      </w:pPr>
      <w:r>
        <w:rPr>
          <w:sz w:val="22"/>
        </w:rPr>
        <w:t xml:space="preserve">Used the same input contract for all models: input_ids plus an optional attention_mask.</w:t>
      </w:r>
    </w:p>
    <w:p>
      <w:pPr>
        <w:pStyle w:val="ListBullet"/>
      </w:pPr>
      <w:r>
        <w:rPr>
          <w:sz w:val="22"/>
        </w:rPr>
        <w:t xml:space="preserve">Used masked max pooling so padding tokens do not influence sequence summaries.</w:t>
      </w:r>
    </w:p>
    <w:p>
      <w:pPr>
        <w:pStyle w:val="ListBullet"/>
      </w:pPr>
      <w:r>
        <w:rPr>
          <w:sz w:val="22"/>
        </w:rPr>
        <w:t xml:space="preserve">Added train/train_baselines.py with Adam optimization, CrossEntropyLoss, validation accuracy, reproducible seeding, CUDA support, and configurable batch limits.</w:t>
      </w:r>
    </w:p>
    <w:p>
      <w:pPr>
        <w:pStyle w:val="ListBullet"/>
      </w:pPr>
      <w:r>
        <w:rPr>
          <w:sz w:val="22"/>
        </w:rPr>
        <w:t xml:space="preserve">Ran a 50-batch quick training pass for each model on the available BanglaBERT-tokenized tensors using the RTX 4050 GPU.</w:t>
      </w:r>
    </w:p>
    <w:p>
      <w:pPr>
        <w:pStyle w:val="ListBullet"/>
      </w:pPr>
      <w:r>
        <w:rPr>
          <w:sz w:val="22"/>
        </w:rPr>
        <w:t xml:space="preserve">Saved the measured results in eval/baseline_results.json.</w:t>
      </w:r>
    </w:p>
    <w:p>
      <w:pPr>
        <w:pStyle w:val="Heading1"/>
      </w:pPr>
      <w:r>
        <w:rPr>
          <w:sz w:val="22"/>
        </w:rPr>
        <w:t xml:space="preserve">3. Theory and design rationale</w:t>
      </w:r>
    </w:p>
    <w:p>
      <w:pPr>
        <w:pStyle w:val="Heading2"/>
      </w:pPr>
      <w:r>
        <w:rPr>
          <w:sz w:val="22"/>
        </w:rPr>
        <w:t xml:space="preserve">3.1 Tokens and embeddings</w:t>
      </w:r>
    </w:p>
    <w:p>
      <w:r>
        <w:rPr>
          <w:sz w:val="22"/>
        </w:rPr>
        <w:t xml:space="preserve">A tokenizer converts each Bangla comment into integer token IDs. An embedding layer maps each ID to a learned dense vector. If the batch contains B examples, each with S tokens, and the embedding dimension is E, the embedding output has shape [B, S, E]. The embedding is learned jointly with the classifier, allowing the model to learn task-specific representations rather than relying on fixed word features.</w:t>
      </w:r>
    </w:p>
    <w:p>
      <w:pPr>
        <w:pStyle w:val="Heading2"/>
      </w:pPr>
      <w:r>
        <w:rPr>
          <w:sz w:val="22"/>
        </w:rPr>
        <w:t xml:space="preserve">3.2 CNN-only model</w:t>
      </w:r>
    </w:p>
    <w:p>
      <w:r>
        <w:rPr>
          <w:sz w:val="22"/>
        </w:rPr>
        <w:t xml:space="preserve">The one-dimensional convolution scans across the token sequence and detects local patterns such as short phrases or character/subword combinations. PyTorch Conv1d expects channels before sequence positions, so [B, S, E] is transposed to [B, E, S]. The convolution uses kernel size 3 and padding 1, preserving sequence length. Batch normalization stabilizes activation scale, and ReLU supplies non-linearity: ReLU(x) = max(0, x). Global max pooling then keeps the strongest detected feature over the sequence. The pooled vector is passed through dropout and a linear layer to produce five class logits.</w:t>
      </w:r>
    </w:p>
    <w:p>
      <w:pPr>
        <w:pStyle w:val="Heading2"/>
      </w:pPr>
      <w:r>
        <w:rPr>
          <w:sz w:val="22"/>
        </w:rPr>
        <w:t xml:space="preserve">3.3 BiLSTM-only model</w:t>
      </w:r>
    </w:p>
    <w:p>
      <w:r>
        <w:rPr>
          <w:sz w:val="22"/>
        </w:rPr>
        <w:t xml:space="preserve">An LSTM maintains a recurrent memory using input, forget, and output gates. In simplified form, the gates control which information enters the cell state, which old information is forgotten, and which state is exposed as the hidden output. A bidirectional LSTM processes the sequence from left to right and right to left. With hidden size H, the two directions are concatenated, producing [B, S, 2H]. This lets the model use both preceding and following context. Masked max pooling converts the sequence of contextual states into one fixed-size vector before classification.</w:t>
      </w:r>
    </w:p>
    <w:p>
      <w:pPr>
        <w:pStyle w:val="Heading2"/>
      </w:pPr>
      <w:r>
        <w:rPr>
          <w:sz w:val="22"/>
        </w:rPr>
        <w:t xml:space="preserve">3.4 GRU-only model</w:t>
      </w:r>
    </w:p>
    <w:p>
      <w:r>
        <w:rPr>
          <w:sz w:val="22"/>
        </w:rPr>
        <w:t xml:space="preserve">A GRU is a gated recurrent unit with update and reset gates. The update gate controls how much of the previous state is retained, while the reset gate controls how much previous information contributes to the candidate state. GRUs have fewer gates and parameters than LSTMs, so they can be faster while still modeling sequence context. The GRU produces [B, S, H], followed by masked max pooling and a linear classifier.</w:t>
      </w:r>
    </w:p>
    <w:p>
      <w:pPr>
        <w:pStyle w:val="Heading2"/>
      </w:pPr>
      <w:r>
        <w:rPr>
          <w:sz w:val="22"/>
        </w:rPr>
        <w:t xml:space="preserve">3.5 Pooling, logits, and loss</w:t>
      </w:r>
    </w:p>
    <w:p>
      <w:r>
        <w:rPr>
          <w:sz w:val="22"/>
        </w:rPr>
        <w:t xml:space="preserve">Pooling makes a variable-length sequence representation usable by a fixed-size classifier. The classifiers return raw logits rather than applying softmax inside forward(). CrossEntropyLoss combines a numerically stable log-softmax with negative log likelihood, so applying softmax beforehand would be unnecessary and can reduce numerical stability. During inference, argmax(logits) selects the predicted class.</w:t>
      </w:r>
    </w:p>
    <w:p>
      <w:pPr>
        <w:pStyle w:val="Heading2"/>
      </w:pPr>
      <w:r>
        <w:rPr>
          <w:sz w:val="22"/>
        </w:rPr>
        <w:t xml:space="preserve">3.6 Attention masks</w:t>
      </w:r>
    </w:p>
    <w:p>
      <w:r>
        <w:rPr>
          <w:sz w:val="22"/>
        </w:rPr>
        <w:t xml:space="preserve">BanglaBERT tokenization pads shorter comments to a common length. The attention mask contains 1 for real tokens and 0 for padding. Before max pooling, padded positions are replaced with the smallest representable floating-point value, preventing artificial padding activations from becoming the maximum feature.</w:t>
      </w:r>
    </w:p>
    <w:p>
      <w:pPr>
        <w:pStyle w:val="Heading1"/>
      </w:pPr>
      <w:r>
        <w:rPr>
          <w:sz w:val="22"/>
        </w:rPr>
        <w:t xml:space="preserve">4. Training method</w:t>
      </w:r>
    </w:p>
    <w:p>
      <w:r>
        <w:rPr>
          <w:sz w:val="22"/>
        </w:rPr>
        <w:t xml:space="preserve">The quick pass used batch size 64, one requested epoch, a maximum of 50 optimizer batches per model, learning rate 0.001, Adam, and CrossEntropyLoss. The dataset contained 50,255 training examples with sequence length 128; validation data came from the generated 70/15/15 pipeline split. The vocabulary size was inferred from the largest token ID in the train and validation tensors. A fixed seed of 42 was used for reproducibility, and CUDA was selected automatically when available.</w:t>
      </w:r>
    </w:p>
    <w:p>
      <w:r>
        <w:rPr>
          <w:sz w:val="22"/>
        </w:rPr>
        <w:t xml:space="preserve">The 50-batch limit is deliberately a smoke-test-style baseline pass, not a final convergence claim. It verifies that every architecture can consume the real tokenized tensors, perform backpropagation, and produce a measurable validation result.</w:t>
      </w:r>
    </w:p>
    <w:p>
      <w:pPr>
        <w:pStyle w:val="Heading1"/>
      </w:pPr>
      <w:r>
        <w:rPr>
          <w:sz w:val="22"/>
        </w:rPr>
        <w:t xml:space="preserve">5. Results</w:t>
      </w:r>
    </w:p>
    <w:tbl>
      <w:tblPr>
        <w:tblBorders>
          <w:top w:val="single"/>
          <w:left w:val="single"/>
          <w:bottom w:val="single"/>
          <w:right w:val="single"/>
          <w:insideH w:val="single"/>
          <w:insideV w:val="single"/>
        </w:tblBorders>
      </w:tblPr>
      <w:tr>
        <w:tc>
          <w:tcPr>
            <w:tcW w:w="3000" w:type="dxa"/>
          </w:tcPr>
          <w:p>
            <w:r>
              <w:rPr>
                <w:sz w:val="20"/>
                <w:b/>
              </w:rPr>
              <w:t xml:space="preserve">Model</w:t>
            </w:r>
          </w:p>
        </w:tc>
        <w:tc>
          <w:tcPr>
            <w:tcW w:w="3000" w:type="dxa"/>
          </w:tcPr>
          <w:p>
            <w:r>
              <w:rPr>
                <w:sz w:val="20"/>
              </w:rPr>
              <w:t xml:space="preserve">Batches</w:t>
            </w:r>
          </w:p>
        </w:tc>
        <w:tc>
          <w:tcPr>
            <w:tcW w:w="3000" w:type="dxa"/>
          </w:tcPr>
          <w:p>
            <w:r>
              <w:rPr>
                <w:sz w:val="20"/>
              </w:rPr>
              <w:t xml:space="preserve">Last loss</w:t>
            </w:r>
          </w:p>
        </w:tc>
        <w:tc>
          <w:tcPr>
            <w:tcW w:w="3000" w:type="dxa"/>
          </w:tcPr>
          <w:p>
            <w:r>
              <w:rPr>
                <w:sz w:val="20"/>
              </w:rPr>
              <w:t xml:space="preserve">Validation accuracy</w:t>
            </w:r>
          </w:p>
        </w:tc>
        <w:tc>
          <w:tcPr>
            <w:tcW w:w="3000" w:type="dxa"/>
          </w:tcPr>
          <w:p>
            <w:r>
              <w:rPr>
                <w:sz w:val="20"/>
              </w:rPr>
              <w:t xml:space="preserve">Device</w:t>
            </w:r>
          </w:p>
        </w:tc>
      </w:tr>
      <w:tr>
        <w:tc>
          <w:tcPr>
            <w:tcW w:w="3000" w:type="dxa"/>
          </w:tcPr>
          <w:p>
            <w:r>
              <w:rPr>
                <w:sz w:val="20"/>
                <w:b/>
              </w:rPr>
              <w:t xml:space="preserve">cnn</w:t>
            </w:r>
          </w:p>
        </w:tc>
        <w:tc>
          <w:tcPr>
            <w:tcW w:w="3000" w:type="dxa"/>
          </w:tcPr>
          <w:p>
            <w:r>
              <w:rPr>
                <w:sz w:val="20"/>
              </w:rPr>
              <w:t xml:space="preserve">50</w:t>
            </w:r>
          </w:p>
        </w:tc>
        <w:tc>
          <w:tcPr>
            <w:tcW w:w="3000" w:type="dxa"/>
          </w:tcPr>
          <w:p>
            <w:r>
              <w:rPr>
                <w:sz w:val="20"/>
              </w:rPr>
              <w:t xml:space="preserve">1.77928</w:t>
            </w:r>
          </w:p>
        </w:tc>
        <w:tc>
          <w:tcPr>
            <w:tcW w:w="3000" w:type="dxa"/>
          </w:tcPr>
          <w:p>
            <w:r>
              <w:rPr>
                <w:sz w:val="20"/>
              </w:rPr>
              <w:t xml:space="preserve">0.449018</w:t>
            </w:r>
          </w:p>
        </w:tc>
        <w:tc>
          <w:tcPr>
            <w:tcW w:w="3000" w:type="dxa"/>
          </w:tcPr>
          <w:p>
            <w:r>
              <w:rPr>
                <w:sz w:val="20"/>
              </w:rPr>
              <w:t xml:space="preserve">cuda</w:t>
            </w:r>
          </w:p>
        </w:tc>
      </w:tr>
      <w:tr>
        <w:tc>
          <w:tcPr>
            <w:tcW w:w="3000" w:type="dxa"/>
          </w:tcPr>
          <w:p>
            <w:r>
              <w:rPr>
                <w:sz w:val="20"/>
                <w:b/>
              </w:rPr>
              <w:t xml:space="preserve">bilstm</w:t>
            </w:r>
          </w:p>
        </w:tc>
        <w:tc>
          <w:tcPr>
            <w:tcW w:w="3000" w:type="dxa"/>
          </w:tcPr>
          <w:p>
            <w:r>
              <w:rPr>
                <w:sz w:val="20"/>
              </w:rPr>
              <w:t xml:space="preserve">50</w:t>
            </w:r>
          </w:p>
        </w:tc>
        <w:tc>
          <w:tcPr>
            <w:tcW w:w="3000" w:type="dxa"/>
          </w:tcPr>
          <w:p>
            <w:r>
              <w:rPr>
                <w:sz w:val="20"/>
              </w:rPr>
              <w:t xml:space="preserve">1.309635</w:t>
            </w:r>
          </w:p>
        </w:tc>
        <w:tc>
          <w:tcPr>
            <w:tcW w:w="3000" w:type="dxa"/>
          </w:tcPr>
          <w:p>
            <w:r>
              <w:rPr>
                <w:sz w:val="20"/>
              </w:rPr>
              <w:t xml:space="preserve">0.467701</w:t>
            </w:r>
          </w:p>
        </w:tc>
        <w:tc>
          <w:tcPr>
            <w:tcW w:w="3000" w:type="dxa"/>
          </w:tcPr>
          <w:p>
            <w:r>
              <w:rPr>
                <w:sz w:val="20"/>
              </w:rPr>
              <w:t xml:space="preserve">cuda</w:t>
            </w:r>
          </w:p>
        </w:tc>
      </w:tr>
      <w:tr>
        <w:tc>
          <w:tcPr>
            <w:tcW w:w="3000" w:type="dxa"/>
          </w:tcPr>
          <w:p>
            <w:r>
              <w:rPr>
                <w:sz w:val="20"/>
                <w:b/>
              </w:rPr>
              <w:t xml:space="preserve">gru</w:t>
            </w:r>
          </w:p>
        </w:tc>
        <w:tc>
          <w:tcPr>
            <w:tcW w:w="3000" w:type="dxa"/>
          </w:tcPr>
          <w:p>
            <w:r>
              <w:rPr>
                <w:sz w:val="20"/>
              </w:rPr>
              <w:t xml:space="preserve">50</w:t>
            </w:r>
          </w:p>
        </w:tc>
        <w:tc>
          <w:tcPr>
            <w:tcW w:w="3000" w:type="dxa"/>
          </w:tcPr>
          <w:p>
            <w:r>
              <w:rPr>
                <w:sz w:val="20"/>
              </w:rPr>
              <w:t xml:space="preserve">1.41162</w:t>
            </w:r>
          </w:p>
        </w:tc>
        <w:tc>
          <w:tcPr>
            <w:tcW w:w="3000" w:type="dxa"/>
          </w:tcPr>
          <w:p>
            <w:r>
              <w:rPr>
                <w:sz w:val="20"/>
              </w:rPr>
              <w:t xml:space="preserve">0.447752</w:t>
            </w:r>
          </w:p>
        </w:tc>
        <w:tc>
          <w:tcPr>
            <w:tcW w:w="3000" w:type="dxa"/>
          </w:tcPr>
          <w:p>
            <w:r>
              <w:rPr>
                <w:sz w:val="20"/>
              </w:rPr>
              <w:t xml:space="preserve">cuda</w:t>
            </w:r>
          </w:p>
        </w:tc>
      </w:tr>
    </w:tbl>
    <w:p>
      <w:r>
        <w:rPr>
          <w:sz w:val="22"/>
        </w:rPr>
        <w:t xml:space="preserve">The BiLSTM had the highest validation accuracy in this short run (46.77%), followed by CNN (44.90%) and GRU (44.78%). These numbers are rough reference values only. They should not be interpreted as final model quality because the models were trained for only 50 batches and accuracy alone may hide class imbalance.</w:t>
      </w:r>
    </w:p>
    <w:p>
      <w:pPr>
        <w:pStyle w:val="Heading1"/>
      </w:pPr>
      <w:r>
        <w:rPr>
          <w:sz w:val="22"/>
        </w:rPr>
        <w:t xml:space="preserve">6. Why these baselines matter</w:t>
      </w:r>
    </w:p>
    <w:p>
      <w:r>
        <w:rPr>
          <w:sz w:val="22"/>
        </w:rPr>
        <w:t xml:space="preserve">The fused TriB-FNN model combines local pattern extraction, bidirectional sequence context, and gated recurrent refinement. A fused model can achieve a better score simply because it has more layers and parameters. Training isolated CNN, BiLSTM, and GRU baselines gives the team a fair component-wise reference. Later, Pair 2 can evaluate all four configurations with accuracy, precision, recall, F1, and confusion matrices. The comparison helps determine which component contributes useful information rather than assuming that more architecture is automatically better.</w:t>
      </w:r>
    </w:p>
    <w:p>
      <w:pPr>
        <w:pStyle w:val="Heading1"/>
      </w:pPr>
      <w:r>
        <w:rPr>
          <w:sz w:val="22"/>
        </w:rPr>
        <w:t xml:space="preserve">7. Files added or changed</w:t>
      </w:r>
    </w:p>
    <w:p>
      <w:pPr>
        <w:pStyle w:val="ListBullet"/>
      </w:pPr>
      <w:r>
        <w:rPr>
          <w:sz w:val="22"/>
        </w:rPr>
        <w:t xml:space="preserve">model/baseline_models.py — reusable standalone baseline classifiers.</w:t>
      </w:r>
    </w:p>
    <w:p>
      <w:pPr>
        <w:pStyle w:val="ListBullet"/>
      </w:pPr>
      <w:r>
        <w:rPr>
          <w:sz w:val="22"/>
        </w:rPr>
        <w:t xml:space="preserve">train/train_baselines.py — configurable training and validation runner.</w:t>
      </w:r>
    </w:p>
    <w:p>
      <w:pPr>
        <w:pStyle w:val="ListBullet"/>
      </w:pPr>
      <w:r>
        <w:rPr>
          <w:sz w:val="22"/>
        </w:rPr>
        <w:t xml:space="preserve">train/__init__.py — allows module execution with python -m train.train_baselines.</w:t>
      </w:r>
    </w:p>
    <w:p>
      <w:pPr>
        <w:pStyle w:val="ListBullet"/>
      </w:pPr>
      <w:r>
        <w:rPr>
          <w:sz w:val="22"/>
        </w:rPr>
        <w:t xml:space="preserve">eval/baseline_results.json — quick-run measurements.</w:t>
      </w:r>
    </w:p>
    <w:p>
      <w:pPr>
        <w:pStyle w:val="ListBullet"/>
      </w:pPr>
      <w:r>
        <w:rPr>
          <w:sz w:val="22"/>
        </w:rPr>
        <w:t xml:space="preserve">Pair1_Day3_Implementation_Report.docx — this explanation and theory report.</w:t>
      </w:r>
    </w:p>
    <w:p>
      <w:pPr>
        <w:pStyle w:val="Heading1"/>
      </w:pPr>
      <w:r>
        <w:rPr>
          <w:sz w:val="22"/>
        </w:rPr>
        <w:t xml:space="preserve">8. Limitations and next steps</w:t>
      </w:r>
    </w:p>
    <w:p>
      <w:pPr>
        <w:pStyle w:val="ListBullet"/>
      </w:pPr>
      <w:r>
        <w:rPr>
          <w:sz w:val="22"/>
        </w:rPr>
        <w:t xml:space="preserve">Run longer, full-epoch experiments before using the values in the final report.</w:t>
      </w:r>
    </w:p>
    <w:p>
      <w:pPr>
        <w:pStyle w:val="ListBullet"/>
      </w:pPr>
      <w:r>
        <w:rPr>
          <w:sz w:val="22"/>
        </w:rPr>
        <w:t xml:space="preserve">Evaluate the held-out test set only after model selection to avoid test leakage.</w:t>
      </w:r>
    </w:p>
    <w:p>
      <w:pPr>
        <w:pStyle w:val="ListBullet"/>
      </w:pPr>
      <w:r>
        <w:rPr>
          <w:sz w:val="22"/>
        </w:rPr>
        <w:t xml:space="preserve">Record precision, recall, macro-F1, weighted-F1, and confusion matrices because the classes are imbalanced.</w:t>
      </w:r>
    </w:p>
    <w:p>
      <w:pPr>
        <w:pStyle w:val="ListBullet"/>
      </w:pPr>
      <w:r>
        <w:rPr>
          <w:sz w:val="22"/>
        </w:rPr>
        <w:t xml:space="preserve">Use the same tuned hyperparameters and data split for the three baselines and the fused model.</w:t>
      </w:r>
    </w:p>
    <w:p>
      <w:pPr>
        <w:pStyle w:val="ListBullet"/>
      </w:pPr>
      <w:r>
        <w:rPr>
          <w:sz w:val="22"/>
        </w:rPr>
        <w:t xml:space="preserve">The generated raw dataset and tensor files remain excluded from Git; regenerate them with the data pipeline when setting up another machine.</w:t>
      </w:r>
    </w:p>
    <w:p>
      <w:pPr>
        <w:pStyle w:val="Heading1"/>
      </w:pPr>
      <w:r>
        <w:rPr>
          <w:sz w:val="22"/>
        </w:rPr>
        <w:t xml:space="preserve">9. Reproduction commands</w:t>
      </w:r>
    </w:p>
    <w:p>
      <w:r>
        <w:rPr>
          <w:sz w:val="22"/>
        </w:rPr>
        <w:t xml:space="preserve">From the repository root: python data/data_pipeline.py; python data/tokenizer.py; python -m train.train_baselines --epochs 1 --max-batches 50 --batch-size 64 --output eval/baseline_results.json</w:t>
      </w:r>
    </w:p>
    <w:sectPr>
      <w:pgSz w:w="12240" w:h="15840"/>
      <w:pgMar w:top="1000" w:right="1000" w:bottom="1000" w:left="1000"/>
    </w:sectPr>
  </w:body>
</w:document>
</file>

<file path=word/styles.xml><?xml version="1.0" encoding="utf-8"?>
<w:styles xmlns:w="http://schemas.openxmlformats.org/wordprocessingml/2006/main">
  <w:style w:type="paragraph" w:default="1" w:styleId="Normal">
    <w:name w:val="Normal"/>
  </w:style>
  <w:style w:type="paragraph" w:styleId="Title">
    <w:name w:val="Title"/>
  </w:style>
  <w:style w:type="paragraph" w:styleId="Heading1">
    <w:name w:val="heading 1"/>
  </w:style>
  <w:style w:type="paragraph" w:styleId="Heading2">
    <w:name w:val="heading 2"/>
  </w:style>
  <w:style w:type="paragraph" w:styleId="ListBullet">
    <w:name w:val="List Bulle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