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Rakotoarimanana Nomenjanahary Levi Hoséa</w:t>
      </w:r>
    </w:p>
    <w:p w:rsidR="00000000" w:rsidDel="00000000" w:rsidP="00000000" w:rsidRDefault="00000000" w:rsidRPr="00000000" w14:paraId="00000002">
      <w:pPr>
        <w:spacing w:after="240" w:before="240" w:lineRule="auto"/>
        <w:rPr/>
      </w:pPr>
      <w:r w:rsidDel="00000000" w:rsidR="00000000" w:rsidRPr="00000000">
        <w:rPr>
          <w:rtl w:val="0"/>
        </w:rPr>
        <w:t xml:space="preserve">Email: </w:t>
      </w:r>
      <w:hyperlink r:id="rId6">
        <w:r w:rsidDel="00000000" w:rsidR="00000000" w:rsidRPr="00000000">
          <w:rPr>
            <w:color w:val="1155cc"/>
            <w:u w:val="single"/>
            <w:rtl w:val="0"/>
          </w:rPr>
          <w:t xml:space="preserve">rakotolevi@gmail.com</w:t>
        </w:r>
      </w:hyperlink>
      <w:r w:rsidDel="00000000" w:rsidR="00000000" w:rsidRPr="00000000">
        <w:rPr>
          <w:rtl w:val="0"/>
        </w:rPr>
        <w:t xml:space="preserve"> </w:t>
      </w:r>
    </w:p>
    <w:p w:rsidR="00000000" w:rsidDel="00000000" w:rsidP="00000000" w:rsidRDefault="00000000" w:rsidRPr="00000000" w14:paraId="00000003">
      <w:pPr>
        <w:spacing w:after="240" w:before="240" w:lineRule="auto"/>
        <w:jc w:val="right"/>
        <w:rPr/>
      </w:pPr>
      <w:r w:rsidDel="00000000" w:rsidR="00000000" w:rsidRPr="00000000">
        <w:rPr>
          <w:rtl w:val="0"/>
        </w:rPr>
        <w:t xml:space="preserve">Juin 2026</w:t>
      </w:r>
    </w:p>
    <w:p w:rsidR="00000000" w:rsidDel="00000000" w:rsidP="00000000" w:rsidRDefault="00000000" w:rsidRPr="00000000" w14:paraId="00000004">
      <w:pPr>
        <w:spacing w:after="240" w:before="240" w:lineRule="auto"/>
        <w:rPr/>
      </w:pPr>
      <w:r w:rsidDel="00000000" w:rsidR="00000000" w:rsidRPr="00000000">
        <w:rPr>
          <w:rtl w:val="0"/>
        </w:rPr>
        <w:t xml:space="preserve">À l’attention de :</w:t>
        <w:br w:type="textWrapping"/>
        <w:t xml:space="preserve">Rajaona Andriamananjara</w:t>
        <w:br w:type="textWrapping"/>
        <w:t xml:space="preserve">Président</w:t>
        <w:br w:type="textWrapping"/>
        <w:t xml:space="preserve">Comité Malgache d'Éthique pour les Sciences et les Technologies (CMEST)</w:t>
        <w:br w:type="textWrapping"/>
        <w:t xml:space="preserve">Académie Nationale Malgache des Arts, des Lettres et des Sciences</w:t>
        <w:br w:type="textWrapping"/>
        <w:t xml:space="preserve">Làlana Fernand Kasanga, Tsimbazaza</w:t>
        <w:br w:type="textWrapping"/>
        <w:t xml:space="preserve">Boîte Postale 6217</w:t>
        <w:br w:type="textWrapping"/>
        <w:t xml:space="preserve">Antananarivo 101</w:t>
        <w:br w:type="textWrapping"/>
        <w:t xml:space="preserve">Madagascar</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Objet : Demande d’avis éthique pour une recherche qualitative en science politique sur la formation du pouvoir exécutif à Madagascar</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Monsieur le Président Rajaona Andriamananjara,</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J’ai l’honneur de vous soumettre la présente demande d’avis éthique auprès du </w:t>
      </w:r>
      <w:r w:rsidDel="00000000" w:rsidR="00000000" w:rsidRPr="00000000">
        <w:rPr>
          <w:b w:val="1"/>
          <w:bCs w:val="1"/>
          <w:rtl w:val="0"/>
        </w:rPr>
        <w:t xml:space="preserve">Comité Malgache d'Éthique pour les Sciences et les Technologies (CMEST)</w:t>
      </w:r>
      <w:r w:rsidDel="00000000" w:rsidR="00000000" w:rsidRPr="00000000">
        <w:rPr>
          <w:rtl w:val="0"/>
        </w:rPr>
        <w:t xml:space="preserve"> dans le cadre de mon projet de recherche qualitative en science politique intitulé : </w:t>
      </w:r>
      <w:r w:rsidDel="00000000" w:rsidR="00000000" w:rsidRPr="00000000">
        <w:rPr>
          <w:b w:val="1"/>
          <w:bCs w:val="1"/>
          <w:rtl w:val="0"/>
        </w:rPr>
        <w:t xml:space="preserve">« The Hidden Constitution: Informal Negotiation and Executive Formation in Post-Colonial Madagascar »</w:t>
      </w:r>
      <w:r w:rsidDel="00000000" w:rsidR="00000000" w:rsidRPr="00000000">
        <w:rPr>
          <w:rtl w:val="0"/>
        </w:rPr>
        <w:t xml:space="preserve">. Cette recherche porte sur la manière dont le pouvoir exécutif à Madagascar s’est constitué à travers l’interaction entre les procédures constitutionnelles formelles et les négociations politiques informelles, de 1958 à juin 2026.</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Cette étude s’inscrit dans les champs de la science politique, du droit constitutionnel, des études africaines et de l’analyse qualitative des crises politiques. La question centrale de recherche est la suivante : </w:t>
      </w:r>
      <w:r w:rsidDel="00000000" w:rsidR="00000000" w:rsidRPr="00000000">
        <w:rPr>
          <w:b w:val="1"/>
          <w:bCs w:val="1"/>
          <w:rtl w:val="0"/>
        </w:rPr>
        <w:t xml:space="preserve">Comment le pouvoir exécutif à Madagascar s’est-il constitué aux côtés des procédures constitutionnelles, à travers des négociations informelles impliquant les élites politiques, les médiateurs internationaux, les organisations de la société civile, les mouvements de protestation et les coalitions transitionnelles, de l’indépendance à nos jours ?</w:t>
      </w:r>
      <w:r w:rsidDel="00000000" w:rsidR="00000000" w:rsidRPr="00000000">
        <w:rPr>
          <w:rtl w:val="0"/>
        </w:rPr>
        <w:t xml:space="preserve"> La finalité de cette recherche est strictement académique. Elle n’a pas pour objectif d’intervenir dans le processus politique actuel, de soutenir un acteur politique, ou de produire un jugement partisan. Elle vise plutôt à comprendre, à partir d’une méthode qualitative rigoureuse, comment l’autorité exécutive a été formée, justifiée, contestée et reconnue pendant les périodes de crise et de transition politique.</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L’étude porte principalement sur plusieurs séquences de crise et de transition exécutive à Madagascar, notamment les périodes de 1972, 1975, 1991–1992, 2001–2002, 2009–2013 et 2025–2026. Ces épisodes sont analysés comme des moments où la relation entre les règles constitutionnelles formelles et les arrangements politiques informels devient particulièrement visible. La recherche combine l’analyse constitutionnelle, l’analyse documentaire, le process tracing, la cartographie des trajectoires élitaires, l’analyse des discours de légitimité et des entretiens semi-directifs avec des informateurs clés.</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La partie documentaire de la recherche repose sur des sources publiques ou légalement accessibles, notamment les textes constitutionnels et leurs amendements, les chartes de transition, les accords politiques, les décrets de nomination des Premiers ministres ou d’autorités exécutives équivalentes, les discours officiels, les archives médiatiques, les déclarations publiques d’organisations de la société civile et d’organisations religieuses, les rapports d’organisations internationales et régionales, ainsi que la littérature académique pertinente. Ces matériaux seront organisés dans cinq bases de données : une base de données sur les élites politiques, une base de données sur les accords politiques et les chartes de transition, une base de données sur les crises et transitions exécutives, une base de données sur les dispositions constitutionnelles, et une base de données sur les discours de légitimité.</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La composante impliquant des personnes humaines consiste en des entretiens semi-directifs avec des informateurs clés. Le nombre prévu d’entretiens est d’environ 25 à 35, selon l’accès aux participants, la pertinence des profils et la saturation thématique. Les participants potentiels peuvent inclure des constitutionnalistes, historiens, journalistes, politistes, représentants de la société civile, représentants d’organisations religieuses, anciens responsables publics, acteurs politiques, ou toute personne disposant d’une connaissance professionnelle ou experte des transitions politiques malgaches. Seules des personnes majeures capables de donner un consentement éclairé seront invitées à participer.</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Ces entretiens ont pour objectif de compléter les sources documentaires. Ils permettront de mieux comprendre des mécanismes qui ne sont pas toujours visibles dans les archives publiques, tels que les canaux de négociation informelle, l’interprétation de la Constitution pendant les crises, les discours de légitimité, les pratiques de médiation et les perceptions relatives à l’autorité exécutive. Les entretiens ne viseront pas à collecter des secrets d’État, des informations classifiées, des accusations privées ou des informations personnelles sans lien direct avec la question académique de recherche.</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La participation sera entièrement volontaire. Avant chaque entretien, le participant recevra une explication claire sur l’objet de la recherche, le but de l’entretien, sa durée approximative, le type de questions posées, l’utilisation des données, la procédure d’anonymisation et ses droits en tant que participant. Il sera informé qu’il peut refuser de répondre à toute question, interrompre l’entretien temporairement ou mettre fin à sa participation à tout moment. Le consentement sera obtenu avant le début de l’entretien. Selon le contexte et la préférence du participant, ce consentement pourra être écrit ou oral. Lorsqu’un consentement oral est utilisé, son statut sera consigné dans un registre de consentement séparé.</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Tous les entretiens avec les informateurs clés seront anonymisés. La recherche n’utilisera pas d’attribution nominative pour les participants aux entretiens. Les participants seront désignés uniquement par des catégories générales, telles que « expert constitutionnel », « journaliste », « acteur de la société civile », « ancien responsable public » ou « représentant d’une organisation religieuse ». Si une description de fonction risque d’identifier indirectement la personne, elle sera davantage généralisée. Cette règle s’appliquera même lorsqu’un participant accepterait d’être nommé, car la recherche porte sur des sujets politiquement sensibles et adopte une approche de protection maximale.</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La gestion des données a été conçue pour garantir la confidentialité et réduire les risques. Les entretiens ne seront enregistrés qu’avec l’accord explicite du participant. Si le participant refuse l’enregistrement, l’entretien sera documenté uniquement par des notes écrites. Lorsqu’un enregistrement est autorisé, il sera effectué sur un appareil local contrôlé par le chercheur. La synchronisation automatique vers le cloud sera désactivée dans la mesure du possible. Aucun service externe de transcription, aucun outil d’intelligence artificielle, aucune plateforme en ligne de traitement vocal et aucun logiciel tiers exigeant le téléversement de l’audio ne sera utilisé pour les données issues des entretiens.</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Après l’enregistrement, le fichier audio sera transféré vers un espace de stockage local chiffré. Le fichier sera identifié uniquement par un code, par exemple KII-001 ou KII-002, sans mention du nom réel, de l’institution ou de l’affiliation politique du participant. La clé d’identification reliant les noms des participants aux codes d’entretien sera conservée séparément des fichiers audio, des transcriptions, des notes et des matériaux d’analyse. L’accès aux données brutes sera strictement limité au chercheur.</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La transcription sera effectuée manuellement par le chercheur. Aucun prestataire externe, aucun outil de transcription automatique par intelligence artificielle et aucune plateforme de transcription basée sur le cloud ne sera utilisé. Le processus de transcription comprendra une transcription manuelle initiale, une vérification par réécoute de l’enregistrement, la suppression des identifiants directs, la suppression ou la généralisation des identifiants indirects, puis la création d’une transcription anonymisée destinée à l’analyse. Seules les transcriptions anonymisées seront utilisées pour le codage et la rédaction.</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Le masquage de la voix ne sera pas utilisé comme méthode ordinaire, car les fichiers audio bruts ne seront pas partagés. Toutefois, si une vérification interne limitée d’un extrait audio s’avère nécessaire, le masquage de la voix sera effectué uniquement à l’aide de fonctions intégrées, locales, disponibles sur l’appareil ou le système d’exploitation du chercheur. Aucun logiciel externe de modification vocale, convertisseur en ligne, service cloud ou outil d’intelligence artificielle de traitement vocal ne sera utilisé. La règle principale demeure l’absence de circulation des fichiers audio bruts.</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La recherche appliquera une règle stricte de non-partage. Les fichiers audio bruts, les transcriptions brutes, les formulaires de consentement, les clés d’identification et les notes d’entretien ne seront pas partagés avec des tiers. Ils ne seront pas déposés dans un entrepôt public de données et ne seront pas fournis comme matériaux supplémentaires. Le document final pourra contenir de courts extraits anonymisés uniquement lorsqu’ils sont nécessaires à l’analyse et lorsqu’ils ne permettent pas l’identification directe ou indirecte du participant.</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La conservation des données sera limitée. Les fichiers audio bruts seront détruits après transcription manuelle, vérification et anonymisation, et au plus tard 90 jours après l’entretien. Les transcriptions brutes contenant des identifiants seront détruites au plus tard 90 jours après l’achèvement de l’anonymisation et de la vérification. La clé d’identification sera détruite au plus tard 12 mois après le dernier entretien, sauf exigence contraire d’une règle institutionnelle d’éthique. Les transcriptions anonymisées et les extraits codés seront conservés uniquement pendant la durée nécessaire à l’achèvement de la recherche, à l’évaluation académique et à la soumission finale, puis détruits au plus tard trois ans après la soumission finale ou la publication, sauf exigence institutionnelle contraire. La destruction des données sera consignée dans un registre de destruction.</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Le risque anticipé pour les participants est faible à modéré, en raison du caractère politique du sujet. Les risques principaux sont réputationnels, politiques ou liés à une identification indirecte. Ces risques seront réduits par le consentement éclairé, l’anonymisation stricte, la minimisation des données collectées, le stockage sécurisé, l’absence de partage des données brutes, le traitement prudent des informations politiquement sensibles et la triangulation des informations issues des entretiens avec des sources documentaires. La recherche évitera de publier des accusations non vérifiées concernant des personnes vivantes. Les propos issus des entretiens seront traités comme des perceptions ou des interprétations, sauf lorsqu’ils sont corroborés par des sources indépendantes.</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Je sollicite donc respectueusement l’examen de ce projet par le CMEST et l’octroi d’un avis éthique favorable pour la conduite de la recherche documentaire et des entretiens anonymisés décrits ci-dessus. Je reste à votre disposition pour fournir tout document complémentaire requis, notamment le protocole de recherche complet, la fiche d’information aux participants, le formulaire de consentement, le guide d’entretien, le plan de gestion des données et l’outil d’évaluation des sources.</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Je vous remercie sincèrement pour votre temps, votre considération et vos orientations.</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Veuillez agréer, Monsieur le Président, l’expression de ma haute considération.</w:t>
      </w:r>
    </w:p>
    <w:p w:rsidR="00000000" w:rsidDel="00000000" w:rsidP="00000000" w:rsidRDefault="00000000" w:rsidRPr="00000000" w14:paraId="00000019">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akotolev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