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bidi w:val="1"/>
      </w:pPr>
      <w:r>
        <w:drawing>
          <wp:inline xmlns:a="http://schemas.openxmlformats.org/drawingml/2006/main" xmlns:pic="http://schemas.openxmlformats.org/drawingml/2006/picture">
            <wp:extent cx="6408000" cy="9057415"/>
            <wp:docPr id="1" name="Picture 1"/>
            <wp:cNvGraphicFramePr>
              <a:graphicFrameLocks noChangeAspect="1"/>
            </wp:cNvGraphicFramePr>
            <a:graphic>
              <a:graphicData uri="http://schemas.openxmlformats.org/drawingml/2006/picture">
                <pic:pic>
                  <pic:nvPicPr>
                    <pic:cNvPr id="0" name="cover.png"/>
                    <pic:cNvPicPr/>
                  </pic:nvPicPr>
                  <pic:blipFill>
                    <a:blip r:embed="rId13"/>
                    <a:stretch>
                      <a:fillRect/>
                    </a:stretch>
                  </pic:blipFill>
                  <pic:spPr>
                    <a:xfrm>
                      <a:off x="0" y="0"/>
                      <a:ext cx="6408000" cy="9057415"/>
                    </a:xfrm>
                    <a:prstGeom prst="rect"/>
                  </pic:spPr>
                </pic:pic>
              </a:graphicData>
            </a:graphic>
          </wp:inline>
        </w:drawing>
      </w:r>
    </w:p>
    <w:p>
      <w:pPr>
        <w:bidi w:val="1"/>
        <w:spacing w:after="0" w:before="0"/>
        <w:jc w:val="right"/>
      </w:pPr>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60" w:type="dxa"/>
              <w:bottom w:w="160" w:type="dxa"/>
              <w:left w:w="200" w:type="dxa"/>
              <w:right w:w="200" w:type="dxa"/>
            </w:tcMar>
          </w:tcPr>
          <w:p>
            <w:pPr>
              <w:spacing w:after="40" w:before="0" w:line="276" w:lineRule="auto"/>
              <w:bidi w:val="1"/>
              <w:jc w:val="center"/>
            </w:pPr>
            <w:r>
              <w:rPr>
                <w:rFonts w:ascii="Calibri" w:hAnsi="Calibri" w:cs="Noto Sans Arabic" w:eastAsia="Noto Sans Arabic"/>
                <w:b/>
                <w:i w:val="0"/>
                <w:color w:val="F7F2E8"/>
                <w:sz w:val="32"/>
                <w:rtl/>
                <w:cs/>
              </w:rPr>
              <w:t>كيف يُقرأ هذا الأطلس</w:t>
            </w:r>
          </w:p>
          <w:p>
            <w:pPr>
              <w:spacing w:after="40" w:before="0" w:line="276" w:lineRule="auto"/>
              <w:bidi w:val="1"/>
              <w:jc w:val="center"/>
            </w:pPr>
            <w:r>
              <w:rPr>
                <w:rFonts w:ascii="Calibri" w:hAnsi="Calibri" w:cs="Calibri" w:eastAsia="Calibri"/>
                <w:b w:val="0"/>
                <w:i w:val="0"/>
                <w:color w:val="C6A15B"/>
                <w:sz w:val="20"/>
                <w:rtl/>
                <w:cs/>
              </w:rPr>
              <w:t>How to use this atlas</w:t>
            </w:r>
          </w:p>
        </w:tc>
      </w:tr>
    </w:tbl>
    <w:p>
      <w:pPr>
        <w:spacing w:after="160" w:before="200" w:line="283" w:lineRule="auto"/>
        <w:bidi w:val="1"/>
        <w:jc w:val="right"/>
      </w:pPr>
      <w:r>
        <w:rPr>
          <w:rFonts w:ascii="Calibri" w:hAnsi="Calibri" w:cs="Noto Naskh Arabic" w:eastAsia="Noto Naskh Arabic"/>
          <w:b w:val="0"/>
          <w:i w:val="0"/>
          <w:color w:val="1C2833"/>
          <w:sz w:val="24"/>
          <w:rtl/>
          <w:cs/>
        </w:rPr>
        <w:t>هذا الملف ليس معرض رسوم. هو أداة اختيار: كل صفحة تطرح رسماً، ثم تجيب عن الأسئلة التي تمنع استخدام الرسم الخطأ في اللحظة الحرجة.</w:t>
      </w:r>
    </w:p>
    <w:p>
      <w:pPr>
        <w:spacing w:after="160" w:before="0" w:line="283" w:lineRule="auto"/>
        <w:bidi w:val="1"/>
        <w:jc w:val="right"/>
      </w:pPr>
      <w:r>
        <w:rPr>
          <w:rFonts w:ascii="Calibri" w:hAnsi="Calibri" w:cs="Noto Naskh Arabic" w:eastAsia="Noto Naskh Arabic"/>
          <w:b w:val="0"/>
          <w:i w:val="0"/>
          <w:color w:val="1C2833"/>
          <w:sz w:val="24"/>
          <w:rtl/>
          <w:cs/>
        </w:rPr>
        <w:t>نُظِّم الأطلس وفق منطق Financial Times Visual Vocabulary: التصنيف حسب الغرض لا حسب الشكل. الشكل خدّاع؛ الغرض هو العقد مع القارئ.</w:t>
      </w:r>
    </w:p>
    <w:p>
      <w:pPr>
        <w:spacing w:after="120" w:before="160" w:line="283" w:lineRule="auto"/>
        <w:bidi w:val="1"/>
        <w:jc w:val="right"/>
      </w:pPr>
      <w:r>
        <w:rPr>
          <w:rFonts w:ascii="Calibri" w:hAnsi="Calibri" w:cs="Noto Sans Arabic" w:eastAsia="Noto Sans Arabic"/>
          <w:b/>
          <w:i w:val="0"/>
          <w:color w:val="0E2433"/>
          <w:sz w:val="28"/>
          <w:rtl/>
          <w:cs/>
        </w:rPr>
        <w:t>كيف تختار في ثلاث خطوات</w:t>
      </w:r>
    </w:p>
    <w:p>
      <w:pPr>
        <w:spacing w:after="80" w:before="0" w:line="283" w:lineRule="auto"/>
        <w:bidi w:val="1"/>
        <w:jc w:val="right"/>
      </w:pPr>
      <w:r>
        <w:rPr>
          <w:rFonts w:ascii="Calibri" w:hAnsi="Calibri" w:cs="Noto Naskh Arabic" w:eastAsia="Noto Naskh Arabic"/>
          <w:b w:val="0"/>
          <w:i w:val="0"/>
          <w:color w:val="1C2833"/>
          <w:sz w:val="24"/>
          <w:rtl/>
          <w:cs/>
        </w:rPr>
        <w:t>1) اكتب جملة الرسالة: «أريد أن يرى القارئ أن …». إن عجزت عن إكمال الجملة، لا ترسم بعد.</w:t>
      </w:r>
    </w:p>
    <w:p>
      <w:pPr>
        <w:spacing w:after="80" w:before="0" w:line="283" w:lineRule="auto"/>
        <w:bidi w:val="1"/>
        <w:jc w:val="right"/>
      </w:pPr>
      <w:r>
        <w:rPr>
          <w:rFonts w:ascii="Calibri" w:hAnsi="Calibri" w:cs="Noto Naskh Arabic" w:eastAsia="Noto Naskh Arabic"/>
          <w:b w:val="0"/>
          <w:i w:val="0"/>
          <w:color w:val="1C2833"/>
          <w:sz w:val="24"/>
          <w:rtl/>
          <w:cs/>
        </w:rPr>
        <w:t>2) حدّد عائلة الغرض: حجم، ترتيب، انحراف، توزيع، علاقة، زمن، جزء من كل، مكان، تدفق، هرمية.</w:t>
      </w:r>
    </w:p>
    <w:p>
      <w:pPr>
        <w:spacing w:after="80" w:before="0" w:line="283" w:lineRule="auto"/>
        <w:bidi w:val="1"/>
        <w:jc w:val="right"/>
      </w:pPr>
      <w:r>
        <w:rPr>
          <w:rFonts w:ascii="Calibri" w:hAnsi="Calibri" w:cs="Noto Naskh Arabic" w:eastAsia="Noto Naskh Arabic"/>
          <w:b w:val="0"/>
          <w:i w:val="0"/>
          <w:color w:val="1C2833"/>
          <w:sz w:val="24"/>
          <w:rtl/>
          <w:cs/>
        </w:rPr>
        <w:t>3) داخل العائلة اختر أبسط رسم يُنجز الجملة. إن تردّدت بين رسمين، اختر الأصدق إدراكياً لا الأجمل.</w:t>
      </w:r>
    </w:p>
    <w:p>
      <w:pPr>
        <w:spacing w:after="120" w:before="240" w:line="283" w:lineRule="auto"/>
        <w:bidi w:val="1"/>
        <w:jc w:val="right"/>
      </w:pPr>
      <w:r>
        <w:rPr>
          <w:rFonts w:ascii="Calibri" w:hAnsi="Calibri" w:cs="Noto Sans Arabic" w:eastAsia="Noto Sans Arabic"/>
          <w:b/>
          <w:i w:val="0"/>
          <w:color w:val="0E2433"/>
          <w:sz w:val="28"/>
          <w:rtl/>
          <w:cs/>
        </w:rPr>
        <w:t>مبادئ لا تُساوَم</w:t>
      </w:r>
    </w:p>
    <w:p>
      <w:pPr>
        <w:spacing w:after="80" w:before="40" w:line="276" w:lineRule="auto"/>
        <w:bidi w:val="1"/>
        <w:jc w:val="right"/>
      </w:pPr>
      <w:r>
        <w:rPr>
          <w:rFonts w:ascii="Calibri" w:hAnsi="Calibri" w:cs="Noto Sans Arabic" w:eastAsia="Noto Sans Arabic"/>
          <w:b/>
          <w:i w:val="0"/>
          <w:color w:val="2C6E7A"/>
          <w:sz w:val="22"/>
          <w:rtl/>
          <w:cs/>
        </w:rPr>
        <w:t xml:space="preserve">ابدأ بالسؤال لا بالرسم.  </w:t>
      </w:r>
      <w:r>
        <w:rPr>
          <w:rFonts w:ascii="Calibri" w:hAnsi="Calibri" w:cs="Noto Naskh Arabic" w:eastAsia="Noto Naskh Arabic"/>
          <w:b w:val="0"/>
          <w:i w:val="0"/>
          <w:color w:val="1C2833"/>
          <w:sz w:val="22"/>
          <w:rtl/>
          <w:cs/>
        </w:rPr>
        <w:t>ارسم بعد أن تصوغ الجملة التي تريد أن يخرج بها القارئ. الرسم أداة جملة، لا معرض أشكال.</w:t>
      </w:r>
    </w:p>
    <w:p>
      <w:pPr>
        <w:spacing w:after="80" w:before="40" w:line="276" w:lineRule="auto"/>
        <w:bidi w:val="1"/>
        <w:jc w:val="right"/>
      </w:pPr>
      <w:r>
        <w:rPr>
          <w:rFonts w:ascii="Calibri" w:hAnsi="Calibri" w:cs="Noto Sans Arabic" w:eastAsia="Noto Sans Arabic"/>
          <w:b/>
          <w:i w:val="0"/>
          <w:color w:val="2C6E7A"/>
          <w:sz w:val="22"/>
          <w:rtl/>
          <w:cs/>
        </w:rPr>
        <w:t xml:space="preserve">الموضع أصدق من المساحة.  </w:t>
      </w:r>
      <w:r>
        <w:rPr>
          <w:rFonts w:ascii="Calibri" w:hAnsi="Calibri" w:cs="Noto Naskh Arabic" w:eastAsia="Noto Naskh Arabic"/>
          <w:b w:val="0"/>
          <w:i w:val="0"/>
          <w:color w:val="1C2833"/>
          <w:sz w:val="22"/>
          <w:rtl/>
          <w:cs/>
        </w:rPr>
        <w:t>حسب Cleveland وMcGill: العين تقرأ الموضع على محور مشترك أدق من الطول، والطول أدق من الزاوية، والزاوية أدق من المساحة، والمساحة أدق من اللون. لذلك العمود يهزم الدائرة في المقارنة.</w:t>
      </w:r>
    </w:p>
    <w:p>
      <w:pPr>
        <w:spacing w:after="80" w:before="40" w:line="276" w:lineRule="auto"/>
        <w:bidi w:val="1"/>
        <w:jc w:val="right"/>
      </w:pPr>
      <w:r>
        <w:rPr>
          <w:rFonts w:ascii="Calibri" w:hAnsi="Calibri" w:cs="Noto Sans Arabic" w:eastAsia="Noto Sans Arabic"/>
          <w:b/>
          <w:i w:val="0"/>
          <w:color w:val="2C6E7A"/>
          <w:sz w:val="22"/>
          <w:rtl/>
          <w:cs/>
        </w:rPr>
        <w:t xml:space="preserve">معدّلات على الخرائط لا مجاميع.  </w:t>
      </w:r>
      <w:r>
        <w:rPr>
          <w:rFonts w:ascii="Calibri" w:hAnsi="Calibri" w:cs="Noto Naskh Arabic" w:eastAsia="Noto Naskh Arabic"/>
          <w:b w:val="0"/>
          <w:i w:val="0"/>
          <w:color w:val="1C2833"/>
          <w:sz w:val="22"/>
          <w:rtl/>
          <w:cs/>
        </w:rPr>
        <w:t>تلوين دولة بعدد الحالات يقيس الحجم لا الخطر. اقسم على السكان أو المساحة حسب السؤال.</w:t>
      </w:r>
    </w:p>
    <w:p>
      <w:pPr>
        <w:spacing w:after="80" w:before="40" w:line="276" w:lineRule="auto"/>
        <w:bidi w:val="1"/>
        <w:jc w:val="right"/>
      </w:pPr>
      <w:r>
        <w:rPr>
          <w:rFonts w:ascii="Calibri" w:hAnsi="Calibri" w:cs="Noto Sans Arabic" w:eastAsia="Noto Sans Arabic"/>
          <w:b/>
          <w:i w:val="0"/>
          <w:color w:val="2C6E7A"/>
          <w:sz w:val="22"/>
          <w:rtl/>
          <w:cs/>
        </w:rPr>
        <w:t xml:space="preserve">الارتباط ليس سببية.  </w:t>
      </w:r>
      <w:r>
        <w:rPr>
          <w:rFonts w:ascii="Calibri" w:hAnsi="Calibri" w:cs="Noto Naskh Arabic" w:eastAsia="Noto Naskh Arabic"/>
          <w:b w:val="0"/>
          <w:i w:val="0"/>
          <w:color w:val="1C2833"/>
          <w:sz w:val="22"/>
          <w:rtl/>
          <w:cs/>
        </w:rPr>
        <w:t>أي انتشار ناجح يغري بالتفسير السببي. إن لم تملك تصميماً سببياً، صِغ العبارة بتحفّظ.</w:t>
      </w:r>
    </w:p>
    <w:p>
      <w:pPr>
        <w:spacing w:after="80" w:before="40" w:line="276" w:lineRule="auto"/>
        <w:bidi w:val="1"/>
        <w:jc w:val="right"/>
      </w:pPr>
      <w:r>
        <w:rPr>
          <w:rFonts w:ascii="Calibri" w:hAnsi="Calibri" w:cs="Noto Sans Arabic" w:eastAsia="Noto Sans Arabic"/>
          <w:b/>
          <w:i w:val="0"/>
          <w:color w:val="2C6E7A"/>
          <w:sz w:val="22"/>
          <w:rtl/>
          <w:cs/>
        </w:rPr>
        <w:t xml:space="preserve">محور واحد مزدوج = تهمة حتى تُبرَّأ.  </w:t>
      </w:r>
      <w:r>
        <w:rPr>
          <w:rFonts w:ascii="Calibri" w:hAnsi="Calibri" w:cs="Noto Naskh Arabic" w:eastAsia="Noto Naskh Arabic"/>
          <w:b w:val="0"/>
          <w:i w:val="0"/>
          <w:color w:val="1C2833"/>
          <w:sz w:val="22"/>
          <w:rtl/>
          <w:cs/>
        </w:rPr>
        <w:t>محوران عموديان يمكن أن يصنعا علاقة بصرية لأي سلسلتين. إن استخدمتهما، برّر ووحّد الصفر قدر الإمكان.</w:t>
      </w:r>
    </w:p>
    <w:p>
      <w:pPr>
        <w:spacing w:after="80" w:before="40" w:line="276" w:lineRule="auto"/>
        <w:bidi w:val="1"/>
        <w:jc w:val="right"/>
      </w:pPr>
      <w:r>
        <w:rPr>
          <w:rFonts w:ascii="Calibri" w:hAnsi="Calibri" w:cs="Noto Sans Arabic" w:eastAsia="Noto Sans Arabic"/>
          <w:b/>
          <w:i w:val="0"/>
          <w:color w:val="2C6E7A"/>
          <w:sz w:val="22"/>
          <w:rtl/>
          <w:cs/>
        </w:rPr>
        <w:t xml:space="preserve">اللون معنى لا زينة.  </w:t>
      </w:r>
      <w:r>
        <w:rPr>
          <w:rFonts w:ascii="Calibri" w:hAnsi="Calibri" w:cs="Noto Naskh Arabic" w:eastAsia="Noto Naskh Arabic"/>
          <w:b w:val="0"/>
          <w:i w:val="0"/>
          <w:color w:val="1C2833"/>
          <w:sz w:val="22"/>
          <w:rtl/>
          <w:cs/>
        </w:rPr>
        <w:t>لون واحد للسلسلة الواحدة. تدرّج متسلسل للكم، وتباعدي (+/−) للانحراف. تجنّب قوس قزح.</w:t>
      </w:r>
    </w:p>
    <w:p>
      <w:pPr>
        <w:spacing w:after="80" w:before="40" w:line="276" w:lineRule="auto"/>
        <w:bidi w:val="1"/>
        <w:jc w:val="right"/>
      </w:pPr>
      <w:r>
        <w:rPr>
          <w:rFonts w:ascii="Calibri" w:hAnsi="Calibri" w:cs="Noto Sans Arabic" w:eastAsia="Noto Sans Arabic"/>
          <w:b/>
          <w:i w:val="0"/>
          <w:color w:val="2C6E7A"/>
          <w:sz w:val="22"/>
          <w:rtl/>
          <w:cs/>
        </w:rPr>
        <w:t xml:space="preserve">كل زخرفة ضريبة على القراءة.  </w:t>
      </w:r>
      <w:r>
        <w:rPr>
          <w:rFonts w:ascii="Calibri" w:hAnsi="Calibri" w:cs="Noto Naskh Arabic" w:eastAsia="Noto Naskh Arabic"/>
          <w:b w:val="0"/>
          <w:i w:val="0"/>
          <w:color w:val="1C2833"/>
          <w:sz w:val="22"/>
          <w:rtl/>
          <w:cs/>
        </w:rPr>
        <w:t>ثلاثي الأبعاد، تدرّجات لامعة، صور خلفية: تسرق حبراً بلا معلومات. مبدأ Tufte: ارفع نسبة الحبر المعرّف للبيانات.</w:t>
      </w:r>
    </w:p>
    <w:p>
      <w:pPr>
        <w:spacing w:after="80" w:before="40" w:line="276" w:lineRule="auto"/>
        <w:bidi w:val="1"/>
        <w:jc w:val="right"/>
      </w:pPr>
      <w:r>
        <w:rPr>
          <w:rFonts w:ascii="Calibri" w:hAnsi="Calibri" w:cs="Noto Sans Arabic" w:eastAsia="Noto Sans Arabic"/>
          <w:b/>
          <w:i w:val="0"/>
          <w:color w:val="2C6E7A"/>
          <w:sz w:val="22"/>
          <w:rtl/>
          <w:cs/>
        </w:rPr>
        <w:t xml:space="preserve">عدم اليقين جزء من الرقم.  </w:t>
      </w:r>
      <w:r>
        <w:rPr>
          <w:rFonts w:ascii="Calibri" w:hAnsi="Calibri" w:cs="Noto Naskh Arabic" w:eastAsia="Noto Naskh Arabic"/>
          <w:b w:val="0"/>
          <w:i w:val="0"/>
          <w:color w:val="1C2833"/>
          <w:sz w:val="22"/>
          <w:rtl/>
          <w:cs/>
        </w:rPr>
        <w:t>متوسط بلا عارضة خطأ في سياق علمي هو ادّعاء دقة زائفة. التوقّع بلا مروحة ادّعاء يقين زائف.</w:t>
      </w:r>
    </w:p>
    <w:p>
      <w:pPr>
        <w:spacing w:after="120" w:before="160" w:line="283" w:lineRule="auto"/>
        <w:bidi w:val="1"/>
        <w:jc w:val="right"/>
      </w:pPr>
      <w:r>
        <w:rPr>
          <w:rFonts w:ascii="Calibri" w:hAnsi="Calibri" w:cs="Noto Naskh Arabic" w:eastAsia="Noto Naskh Arabic"/>
          <w:b w:val="0"/>
          <w:i/>
          <w:color w:val="5B6570"/>
          <w:sz w:val="22"/>
          <w:rtl/>
          <w:cs/>
        </w:rPr>
        <w:t>في الصفحات التالية: كل مبدأ مع نفس البيانات، مرسومة مرّتين. اليسار مضلّل، واليمين صادق.</w:t>
      </w:r>
    </w:p>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8943616"/>
            <wp:docPr id="2" name="Picture 2"/>
            <wp:cNvGraphicFramePr>
              <a:graphicFrameLocks noChangeAspect="1"/>
            </wp:cNvGraphicFramePr>
            <a:graphic>
              <a:graphicData uri="http://schemas.openxmlformats.org/drawingml/2006/picture">
                <pic:pic>
                  <pic:nvPicPr>
                    <pic:cNvPr id="0" name="d_principles.png"/>
                    <pic:cNvPicPr/>
                  </pic:nvPicPr>
                  <pic:blipFill>
                    <a:blip r:embed="rId14"/>
                    <a:stretch>
                      <a:fillRect/>
                    </a:stretch>
                  </pic:blipFill>
                  <pic:spPr>
                    <a:xfrm>
                      <a:off x="0" y="0"/>
                      <a:ext cx="6408000" cy="8943616"/>
                    </a:xfrm>
                    <a:prstGeom prst="rect"/>
                  </pic:spPr>
                </pic:pic>
              </a:graphicData>
            </a:graphic>
          </wp:inline>
        </w:drawing>
      </w:r>
    </w:p>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01   ابدأ بالسؤال لا بالرسم</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Start with the question</w:t>
            </w:r>
          </w:p>
        </w:tc>
      </w:tr>
    </w:tbl>
    <w:p>
      <w:pPr>
        <w:spacing w:after="120" w:before="160" w:line="283" w:lineRule="auto"/>
        <w:bidi w:val="1"/>
        <w:jc w:val="right"/>
      </w:pPr>
      <w:r>
        <w:rPr>
          <w:rFonts w:ascii="Calibri" w:hAnsi="Calibri" w:cs="Noto Naskh Arabic" w:eastAsia="Noto Naskh Arabic"/>
          <w:b w:val="0"/>
          <w:i w:val="0"/>
          <w:color w:val="1C2833"/>
          <w:sz w:val="24"/>
          <w:rtl/>
          <w:cs/>
        </w:rPr>
        <w:t>البيانات واحدة: حصص قنوات البيع في 2020 و2025. السؤال الحقيقي: أي قناة نمت؟</w:t>
      </w:r>
    </w:p>
    <w:p>
      <w:pPr>
        <w:spacing w:after="120" w:before="80"/>
        <w:jc w:val="center"/>
        <w:bidi w:val="1"/>
      </w:pPr>
      <w:r>
        <w:drawing>
          <wp:inline xmlns:a="http://schemas.openxmlformats.org/drawingml/2006/main" xmlns:pic="http://schemas.openxmlformats.org/drawingml/2006/picture">
            <wp:extent cx="6048000" cy="2665006"/>
            <wp:docPr id="3" name="Picture 3"/>
            <wp:cNvGraphicFramePr>
              <a:graphicFrameLocks noChangeAspect="1"/>
            </wp:cNvGraphicFramePr>
            <a:graphic>
              <a:graphicData uri="http://schemas.openxmlformats.org/drawingml/2006/picture">
                <pic:pic>
                  <pic:nvPicPr>
                    <pic:cNvPr id="0" name="p01_question.png"/>
                    <pic:cNvPicPr/>
                  </pic:nvPicPr>
                  <pic:blipFill>
                    <a:blip r:embed="rId15"/>
                    <a:stretch>
                      <a:fillRect/>
                    </a:stretch>
                  </pic:blipFill>
                  <pic:spPr>
                    <a:xfrm>
                      <a:off x="0" y="0"/>
                      <a:ext cx="6048000" cy="2665006"/>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الدائرة تعرض حصص 2025 فقط. الجوال يبدو البطل، لكن الرسم لا يقول إن كان قد نما أو كان كبيراً أصلاً. أُجيب على سؤال لم يُسأل.</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مخطط الميل يضع 2020 مقابل 2025 لكل قناة. الجملة تكتمل: الجوال صعد، المتجر هبط، الويب والباقي ثبتا.</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قبل اختيار الشكل، أكمل جملة: «أريد القارئ أن يرى أن …». إن عجزت، لا ترسم بعد.</w:t>
            </w:r>
          </w:p>
        </w:tc>
      </w:tr>
    </w:tbl>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02   الموضع أصدق من المساحة</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Position beats area</w:t>
            </w:r>
          </w:p>
        </w:tc>
      </w:tr>
    </w:tbl>
    <w:p>
      <w:pPr>
        <w:spacing w:after="120" w:before="160" w:line="283" w:lineRule="auto"/>
        <w:bidi w:val="1"/>
        <w:jc w:val="right"/>
      </w:pPr>
      <w:r>
        <w:rPr>
          <w:rFonts w:ascii="Calibri" w:hAnsi="Calibri" w:cs="Noto Naskh Arabic" w:eastAsia="Noto Naskh Arabic"/>
          <w:b w:val="0"/>
          <w:i w:val="0"/>
          <w:color w:val="1C2833"/>
          <w:sz w:val="24"/>
          <w:rtl/>
          <w:cs/>
        </w:rPr>
        <w:t>أربع مناطق بنسب 26، 25، 25، 24. الفرق موجود، لكنه صغير.</w:t>
      </w:r>
    </w:p>
    <w:p>
      <w:pPr>
        <w:spacing w:after="120" w:before="80"/>
        <w:jc w:val="center"/>
        <w:bidi w:val="1"/>
      </w:pPr>
      <w:r>
        <w:drawing>
          <wp:inline xmlns:a="http://schemas.openxmlformats.org/drawingml/2006/main" xmlns:pic="http://schemas.openxmlformats.org/drawingml/2006/picture">
            <wp:extent cx="6048000" cy="2796664"/>
            <wp:docPr id="4" name="Picture 4"/>
            <wp:cNvGraphicFramePr>
              <a:graphicFrameLocks noChangeAspect="1"/>
            </wp:cNvGraphicFramePr>
            <a:graphic>
              <a:graphicData uri="http://schemas.openxmlformats.org/drawingml/2006/picture">
                <pic:pic>
                  <pic:nvPicPr>
                    <pic:cNvPr id="0" name="p02_position.png"/>
                    <pic:cNvPicPr/>
                  </pic:nvPicPr>
                  <pic:blipFill>
                    <a:blip r:embed="rId16"/>
                    <a:stretch>
                      <a:fillRect/>
                    </a:stretch>
                  </pic:blipFill>
                  <pic:spPr>
                    <a:xfrm>
                      <a:off x="0" y="0"/>
                      <a:ext cx="6048000" cy="2796664"/>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الدائرة ترمّز النسبة بزاوية ومساحة. العين لا تفرّق 26 عن 24 إلا بجهد. الأرقام تُطبع على الشرائح لأن الشكل نفسه فشل.</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الأعمدة الأفقية ترمّز القيمة بموضع على محور مشترك. حتى مع Magnification بسيط للمحور (معلن من 20 إلى 28) يظهر الترتيب فوراً.</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للمقارنة الدقيقة: موضع على محور &gt; طول شريط &gt; زاوية &gt; مساحة &gt; لون. لذلك العمود يهزم الدائرة.</w:t>
            </w:r>
          </w:p>
        </w:tc>
      </w:tr>
    </w:tbl>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03   معدّلات على الخرائط لا مجاميع</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Rates on maps, not totals</w:t>
            </w:r>
          </w:p>
        </w:tc>
      </w:tr>
    </w:tbl>
    <w:p>
      <w:pPr>
        <w:spacing w:after="120" w:before="160" w:line="283" w:lineRule="auto"/>
        <w:bidi w:val="1"/>
        <w:jc w:val="right"/>
      </w:pPr>
      <w:r>
        <w:rPr>
          <w:rFonts w:ascii="Calibri" w:hAnsi="Calibri" w:cs="Noto Naskh Arabic" w:eastAsia="Noto Naskh Arabic"/>
          <w:b w:val="0"/>
          <w:i w:val="0"/>
          <w:color w:val="1C2833"/>
          <w:sz w:val="24"/>
          <w:rtl/>
          <w:cs/>
        </w:rPr>
        <w:t>ست مناطق. الكبيرة كثيرة السكان وقضاياها كثيرة بالعدد. الصغيرة أقل عدداً وأعلى كثافة.</w:t>
      </w:r>
    </w:p>
    <w:p>
      <w:pPr>
        <w:spacing w:after="120" w:before="80"/>
        <w:jc w:val="center"/>
        <w:bidi w:val="1"/>
      </w:pPr>
      <w:r>
        <w:drawing>
          <wp:inline xmlns:a="http://schemas.openxmlformats.org/drawingml/2006/main" xmlns:pic="http://schemas.openxmlformats.org/drawingml/2006/picture">
            <wp:extent cx="6048000" cy="2195535"/>
            <wp:docPr id="5" name="Picture 5"/>
            <wp:cNvGraphicFramePr>
              <a:graphicFrameLocks noChangeAspect="1"/>
            </wp:cNvGraphicFramePr>
            <a:graphic>
              <a:graphicData uri="http://schemas.openxmlformats.org/drawingml/2006/picture">
                <pic:pic>
                  <pic:nvPicPr>
                    <pic:cNvPr id="0" name="p03_maps.png"/>
                    <pic:cNvPicPr/>
                  </pic:nvPicPr>
                  <pic:blipFill>
                    <a:blip r:embed="rId17"/>
                    <a:stretch>
                      <a:fillRect/>
                    </a:stretch>
                  </pic:blipFill>
                  <pic:spPr>
                    <a:xfrm>
                      <a:off x="0" y="0"/>
                      <a:ext cx="6048000" cy="2195535"/>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التظليل بالمجاميع يجعل المنطقة الأكبر «الأسوأ». الخريطة تقيس الحجم الديموغرافي لا الخطورة.</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نفس الحدود، ملوّنة بالمعدّل (لكل وحدة سكان). القصة تنقلب: R3 وR4 هما البؤرتان. المنطقة الكبيرة تصير باهتة.</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Choropleth للمعدّلات والنسب. للمجاميع المطلقة: فقاعات أو أرقام، لا تلوين المساحة.</w:t>
            </w:r>
          </w:p>
        </w:tc>
      </w:tr>
    </w:tbl>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04   الارتباط ليس سببية</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Correlation is not causation</w:t>
            </w:r>
          </w:p>
        </w:tc>
      </w:tr>
    </w:tbl>
    <w:p>
      <w:pPr>
        <w:spacing w:after="120" w:before="160" w:line="283" w:lineRule="auto"/>
        <w:bidi w:val="1"/>
        <w:jc w:val="right"/>
      </w:pPr>
      <w:r>
        <w:rPr>
          <w:rFonts w:ascii="Calibri" w:hAnsi="Calibri" w:cs="Noto Naskh Arabic" w:eastAsia="Noto Naskh Arabic"/>
          <w:b w:val="0"/>
          <w:i w:val="0"/>
          <w:color w:val="1C2833"/>
          <w:sz w:val="24"/>
          <w:rtl/>
          <w:cs/>
        </w:rPr>
        <w:t>مبيعات مثلجات وحوادث غرق على مدى 12 شهراً. معامل الارتباط ≈ 0.91.</w:t>
      </w:r>
    </w:p>
    <w:p>
      <w:pPr>
        <w:spacing w:after="120" w:before="80"/>
        <w:jc w:val="center"/>
        <w:bidi w:val="1"/>
      </w:pPr>
      <w:r>
        <w:drawing>
          <wp:inline xmlns:a="http://schemas.openxmlformats.org/drawingml/2006/main" xmlns:pic="http://schemas.openxmlformats.org/drawingml/2006/picture">
            <wp:extent cx="6048000" cy="2500844"/>
            <wp:docPr id="6" name="Picture 6"/>
            <wp:cNvGraphicFramePr>
              <a:graphicFrameLocks noChangeAspect="1"/>
            </wp:cNvGraphicFramePr>
            <a:graphic>
              <a:graphicData uri="http://schemas.openxmlformats.org/drawingml/2006/picture">
                <pic:pic>
                  <pic:nvPicPr>
                    <pic:cNvPr id="0" name="p04_causation.png"/>
                    <pic:cNvPicPr/>
                  </pic:nvPicPr>
                  <pic:blipFill>
                    <a:blip r:embed="rId18"/>
                    <a:stretch>
                      <a:fillRect/>
                    </a:stretch>
                  </pic:blipFill>
                  <pic:spPr>
                    <a:xfrm>
                      <a:off x="0" y="0"/>
                      <a:ext cx="6048000" cy="2500844"/>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انتشار مع خط انحدار وجملة ذهنية: المثلجات تسبّب الغرق. الرسم لا يكذب في النقاط، يكذب في الإيحاء.</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السلسلتان مع الحرارة عبر الأشهر. الثلاثة ترتفع صيفاً. المتغيّر المختبئ هو الحر، لا البائع.</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إن لم تملك تصميماً سببياً، صِغ: «يترافق مع». لا «يؤدي إلى». ابحث عن المتغيّر الثالث.</w:t>
            </w:r>
          </w:p>
        </w:tc>
      </w:tr>
    </w:tbl>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05   محور مزدوج = تهمة حتى تُبرَّأ</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Dual axis is guilty until proven</w:t>
            </w:r>
          </w:p>
        </w:tc>
      </w:tr>
    </w:tbl>
    <w:p>
      <w:pPr>
        <w:spacing w:after="120" w:before="160" w:line="283" w:lineRule="auto"/>
        <w:bidi w:val="1"/>
        <w:jc w:val="right"/>
      </w:pPr>
      <w:r>
        <w:rPr>
          <w:rFonts w:ascii="Calibri" w:hAnsi="Calibri" w:cs="Noto Naskh Arabic" w:eastAsia="Noto Naskh Arabic"/>
          <w:b w:val="0"/>
          <w:i w:val="0"/>
          <w:color w:val="1C2833"/>
          <w:sz w:val="24"/>
          <w:rtl/>
          <w:cs/>
        </w:rPr>
        <w:t>إيرادات تتحرّك من 100 إلى 103. عدد المستخدمين من 12 إلى 98. قصّتان مختلفتان.</w:t>
      </w:r>
    </w:p>
    <w:p>
      <w:pPr>
        <w:spacing w:after="120" w:before="80"/>
        <w:jc w:val="center"/>
        <w:bidi w:val="1"/>
      </w:pPr>
      <w:r>
        <w:drawing>
          <wp:inline xmlns:a="http://schemas.openxmlformats.org/drawingml/2006/main" xmlns:pic="http://schemas.openxmlformats.org/drawingml/2006/picture">
            <wp:extent cx="6048000" cy="2567250"/>
            <wp:docPr id="7" name="Picture 7"/>
            <wp:cNvGraphicFramePr>
              <a:graphicFrameLocks noChangeAspect="1"/>
            </wp:cNvGraphicFramePr>
            <a:graphic>
              <a:graphicData uri="http://schemas.openxmlformats.org/drawingml/2006/picture">
                <pic:pic>
                  <pic:nvPicPr>
                    <pic:cNvPr id="0" name="p05_dualaxis.png"/>
                    <pic:cNvPicPr/>
                  </pic:nvPicPr>
                  <pic:blipFill>
                    <a:blip r:embed="rId19"/>
                    <a:stretch>
                      <a:fillRect/>
                    </a:stretch>
                  </pic:blipFill>
                  <pic:spPr>
                    <a:xfrm>
                      <a:off x="0" y="0"/>
                      <a:ext cx="6048000" cy="2567250"/>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محور أيسر مضغوط (99–104) يجعل الإيرادات تبدو وكأنها «تواكب» انفجار المستخدمين. الممثل هو المقياس، لا البيانات.</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الإيرادات على محور يبدأ من صفر: شبه خط أفقي. المستخدمون في لوحة مستقلة حيث النمو حقيقي.</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محوران عموديان يصنعان تزامناً بصرياً لأي سلسلتين. الأسلم: رسمان، أو مؤشر مشتق واحد.</w:t>
            </w:r>
          </w:p>
        </w:tc>
      </w:tr>
    </w:tbl>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06   اللون معنى لا زينة</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Colour is meaning, not paint</w:t>
            </w:r>
          </w:p>
        </w:tc>
      </w:tr>
    </w:tbl>
    <w:p>
      <w:pPr>
        <w:spacing w:after="120" w:before="160" w:line="283" w:lineRule="auto"/>
        <w:bidi w:val="1"/>
        <w:jc w:val="right"/>
      </w:pPr>
      <w:r>
        <w:rPr>
          <w:rFonts w:ascii="Calibri" w:hAnsi="Calibri" w:cs="Noto Naskh Arabic" w:eastAsia="Noto Naskh Arabic"/>
          <w:b w:val="0"/>
          <w:i w:val="0"/>
          <w:color w:val="1C2833"/>
          <w:sz w:val="24"/>
          <w:rtl/>
          <w:cs/>
        </w:rPr>
        <w:t>نفس مصفوفة النشاط الأسبوعي. الفرق الوحيد: خريطة الألوان.</w:t>
      </w:r>
    </w:p>
    <w:p>
      <w:pPr>
        <w:spacing w:after="120" w:before="80"/>
        <w:jc w:val="center"/>
        <w:bidi w:val="1"/>
      </w:pPr>
      <w:r>
        <w:drawing>
          <wp:inline xmlns:a="http://schemas.openxmlformats.org/drawingml/2006/main" xmlns:pic="http://schemas.openxmlformats.org/drawingml/2006/picture">
            <wp:extent cx="6048000" cy="2623470"/>
            <wp:docPr id="8" name="Picture 8"/>
            <wp:cNvGraphicFramePr>
              <a:graphicFrameLocks noChangeAspect="1"/>
            </wp:cNvGraphicFramePr>
            <a:graphic>
              <a:graphicData uri="http://schemas.openxmlformats.org/drawingml/2006/picture">
                <pic:pic>
                  <pic:nvPicPr>
                    <pic:cNvPr id="0" name="p06_color.png"/>
                    <pic:cNvPicPr/>
                  </pic:nvPicPr>
                  <pic:blipFill>
                    <a:blip r:embed="rId20"/>
                    <a:stretch>
                      <a:fillRect/>
                    </a:stretch>
                  </pic:blipFill>
                  <pic:spPr>
                    <a:xfrm>
                      <a:off x="0" y="0"/>
                      <a:ext cx="6048000" cy="2623470"/>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قوس قزح (jet): الأصفر والأخضر يبدوان فئتين مختلفتين. حدود وهمية تظهر حيث التغيّر تدريجي.</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تدرّج متسلسل بلون واحد. الفاتح قليل والغوامق كثير. الكمّية هي الرسالة الوحيدة.</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سلسلة واحدة = لون واحد. كمّية = تدرّج متسلسل. انحراف +/− = تباعدي. قوس قزح ممنوع للكم.</w:t>
            </w:r>
          </w:p>
        </w:tc>
      </w:tr>
    </w:tbl>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07   كل زخرفة ضريبة على القراءة</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Decoration is a tax on reading</w:t>
            </w:r>
          </w:p>
        </w:tc>
      </w:tr>
    </w:tbl>
    <w:p>
      <w:pPr>
        <w:spacing w:after="120" w:before="160" w:line="283" w:lineRule="auto"/>
        <w:bidi w:val="1"/>
        <w:jc w:val="right"/>
      </w:pPr>
      <w:r>
        <w:rPr>
          <w:rFonts w:ascii="Calibri" w:hAnsi="Calibri" w:cs="Noto Naskh Arabic" w:eastAsia="Noto Naskh Arabic"/>
          <w:b w:val="0"/>
          <w:i w:val="0"/>
          <w:color w:val="1C2833"/>
          <w:sz w:val="24"/>
          <w:rtl/>
          <w:cs/>
        </w:rPr>
        <w:t>أربع قيم: 42، 55، 48، 51. B هي الأعلى بوضوح إن تُركت للموضع.</w:t>
      </w:r>
    </w:p>
    <w:p>
      <w:pPr>
        <w:spacing w:after="120" w:before="80"/>
        <w:jc w:val="center"/>
        <w:bidi w:val="1"/>
      </w:pPr>
      <w:r>
        <w:drawing>
          <wp:inline xmlns:a="http://schemas.openxmlformats.org/drawingml/2006/main" xmlns:pic="http://schemas.openxmlformats.org/drawingml/2006/picture">
            <wp:extent cx="6048000" cy="2769882"/>
            <wp:docPr id="9" name="Picture 9"/>
            <wp:cNvGraphicFramePr>
              <a:graphicFrameLocks noChangeAspect="1"/>
            </wp:cNvGraphicFramePr>
            <a:graphic>
              <a:graphicData uri="http://schemas.openxmlformats.org/drawingml/2006/picture">
                <pic:pic>
                  <pic:nvPicPr>
                    <pic:cNvPr id="0" name="p07_decoration.png"/>
                    <pic:cNvPicPr/>
                  </pic:nvPicPr>
                  <pic:blipFill>
                    <a:blip r:embed="rId21"/>
                    <a:stretch>
                      <a:fillRect/>
                    </a:stretch>
                  </pic:blipFill>
                  <pic:spPr>
                    <a:xfrm>
                      <a:off x="0" y="0"/>
                      <a:ext cx="6048000" cy="2769882"/>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أعمدة ثلاثية الأبعاد. المنظور يسرق الارتفاع: C تبدو أقصر مما هي. الظلال والحجم المسرحي حبر بلا معلومة.</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عمود ثنائي الأبعاد على محور من صفر، مع الرقم فوق الشريط. B أولى، والباقي متقاربون بلا دراما زائفة.</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مبدأ Tufte: ارفع نسبة الحبر المعرّف للبيانات. ثلاثي الأبعاد، توهّج، صور خلفية = ضريبة.</w:t>
            </w:r>
          </w:p>
        </w:tc>
      </w:tr>
    </w:tbl>
    <w:p>
      <w:pPr>
        <w:bidi w:val="1"/>
        <w:spacing w:after="0" w:before="0"/>
        <w:jc w:val="right"/>
      </w:pPr>
      <w:r>
        <w:br w:type="page"/>
      </w:r>
    </w:p>
    <w:tbl>
      <w:tblPr>
        <w:tblW w:type="auto" w:w="0"/>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40" w:type="dxa"/>
              <w:bottom w:w="140" w:type="dxa"/>
              <w:left w:w="180" w:type="dxa"/>
              <w:right w:w="180" w:type="dxa"/>
            </w:tcMar>
          </w:tcPr>
          <w:p>
            <w:pPr>
              <w:spacing w:after="0" w:before="0" w:line="276" w:lineRule="auto"/>
              <w:bidi w:val="1"/>
              <w:jc w:val="right"/>
            </w:pPr>
            <w:r>
              <w:rPr>
                <w:rFonts w:ascii="Calibri" w:hAnsi="Calibri" w:cs="Noto Sans Arabic" w:eastAsia="Noto Sans Arabic"/>
                <w:b/>
                <w:i w:val="0"/>
                <w:color w:val="F7F2E8"/>
                <w:sz w:val="28"/>
                <w:rtl/>
                <w:cs/>
              </w:rPr>
              <w:t>مبدأ 08   عدم اليقين جزء من الرقم</w:t>
            </w:r>
          </w:p>
        </w:tc>
        <w:tc>
          <w:tcPr>
            <w:tcW w:type="dxa" w:w="5046"/>
            <w:shd w:fill="C45C4A" w:val="clear"/>
            <w:tcMar>
              <w:top w:w="140" w:type="dxa"/>
              <w:bottom w:w="140" w:type="dxa"/>
              <w:left w:w="180" w:type="dxa"/>
              <w:right w:w="180" w:type="dxa"/>
            </w:tcMar>
          </w:tcPr>
          <w:p>
            <w:pPr>
              <w:spacing w:after="0" w:before="0" w:line="276" w:lineRule="auto"/>
              <w:bidi w:val="1"/>
              <w:jc w:val="left"/>
            </w:pPr>
            <w:r>
              <w:rPr>
                <w:rFonts w:ascii="Calibri" w:hAnsi="Calibri" w:cs="Calibri" w:eastAsia="Calibri"/>
                <w:b w:val="0"/>
                <w:i w:val="0"/>
                <w:color w:val="F7F2E8"/>
                <w:sz w:val="20"/>
                <w:rtl/>
                <w:cs/>
              </w:rPr>
              <w:t>Uncertainty is part of the number</w:t>
            </w:r>
          </w:p>
        </w:tc>
      </w:tr>
    </w:tbl>
    <w:p>
      <w:pPr>
        <w:spacing w:after="120" w:before="160" w:line="283" w:lineRule="auto"/>
        <w:bidi w:val="1"/>
        <w:jc w:val="right"/>
      </w:pPr>
      <w:r>
        <w:rPr>
          <w:rFonts w:ascii="Calibri" w:hAnsi="Calibri" w:cs="Noto Naskh Arabic" w:eastAsia="Noto Naskh Arabic"/>
          <w:b w:val="0"/>
          <w:i w:val="0"/>
          <w:color w:val="1C2833"/>
          <w:sz w:val="24"/>
          <w:rtl/>
          <w:cs/>
        </w:rPr>
        <w:t>أربع طرائق بمتوسطات 74.0 و73.2 و72.1 و71.4، وكل فترة ثقة تقارب ±4 درجات.</w:t>
      </w:r>
    </w:p>
    <w:p>
      <w:pPr>
        <w:spacing w:after="120" w:before="80"/>
        <w:jc w:val="center"/>
        <w:bidi w:val="1"/>
      </w:pPr>
      <w:r>
        <w:drawing>
          <wp:inline xmlns:a="http://schemas.openxmlformats.org/drawingml/2006/main" xmlns:pic="http://schemas.openxmlformats.org/drawingml/2006/picture">
            <wp:extent cx="6048000" cy="2584073"/>
            <wp:docPr id="10" name="Picture 10"/>
            <wp:cNvGraphicFramePr>
              <a:graphicFrameLocks noChangeAspect="1"/>
            </wp:cNvGraphicFramePr>
            <a:graphic>
              <a:graphicData uri="http://schemas.openxmlformats.org/drawingml/2006/picture">
                <pic:pic>
                  <pic:nvPicPr>
                    <pic:cNvPr id="0" name="p08_uncertainty.png"/>
                    <pic:cNvPicPr/>
                  </pic:nvPicPr>
                  <pic:blipFill>
                    <a:blip r:embed="rId22"/>
                    <a:stretch>
                      <a:fillRect/>
                    </a:stretch>
                  </pic:blipFill>
                  <pic:spPr>
                    <a:xfrm>
                      <a:off x="0" y="0"/>
                      <a:ext cx="6048000" cy="2584073"/>
                    </a:xfrm>
                    <a:prstGeom prst="rect"/>
                  </pic:spPr>
                </pic:pic>
              </a:graphicData>
            </a:graphic>
          </wp:inline>
        </w:drawing>
      </w:r>
    </w:p>
    <w:tbl>
      <w:tblPr>
        <w:tblW w:type="auto" w:w="0"/>
        <w:tblLook w:firstColumn="1" w:firstRow="1" w:lastColumn="0" w:lastRow="0" w:noHBand="0" w:noVBand="1" w:val="04A0"/>
      </w:tblPr>
      <w:tblGrid>
        <w:gridCol w:w="5046"/>
        <w:gridCol w:w="5046"/>
      </w:tblGrid>
      <w:tr>
        <w:tc>
          <w:tcPr>
            <w:tcW w:type="dxa" w:w="5046"/>
            <w:shd w:fill="F4E8E4" w:val="clear"/>
            <w:tcMar>
              <w:top w:w="140" w:type="dxa"/>
              <w:bottom w:w="140" w:type="dxa"/>
              <w:left w:w="160" w:type="dxa"/>
              <w:right w:w="160" w:type="dxa"/>
            </w:tcMar>
            <w:tcBorders>
              <w:top w:val="single" w:sz="10" w:color="C45C4A" w:space="0"/>
              <w:left w:val="single" w:sz="10" w:color="C45C4A" w:space="0"/>
              <w:bottom w:val="single" w:sz="10" w:color="C45C4A" w:space="0"/>
              <w:right w:val="single" w:sz="10" w:color="C45C4A" w:space="0"/>
            </w:tcBorders>
          </w:tcPr>
          <w:p>
            <w:pPr>
              <w:spacing w:after="60" w:before="0" w:line="276" w:lineRule="auto"/>
              <w:bidi w:val="1"/>
              <w:jc w:val="right"/>
            </w:pPr>
            <w:r>
              <w:rPr>
                <w:rFonts w:ascii="Calibri" w:hAnsi="Calibri" w:cs="Noto Sans Arabic" w:eastAsia="Noto Sans Arabic"/>
                <w:b/>
                <w:i w:val="0"/>
                <w:color w:val="C45C4A"/>
                <w:sz w:val="20"/>
                <w:rtl/>
                <w:cs/>
              </w:rPr>
              <w:t>لماذا هذا مضلّل</w:t>
            </w:r>
          </w:p>
          <w:p>
            <w:pPr>
              <w:spacing w:after="40" w:before="0" w:line="276" w:lineRule="auto"/>
              <w:bidi w:val="1"/>
              <w:jc w:val="right"/>
            </w:pPr>
            <w:r>
              <w:rPr>
                <w:rFonts w:ascii="Calibri" w:hAnsi="Calibri" w:cs="Noto Naskh Arabic" w:eastAsia="Noto Naskh Arabic"/>
                <w:b w:val="0"/>
                <w:i w:val="0"/>
                <w:color w:val="1C2833"/>
                <w:sz w:val="22"/>
                <w:rtl/>
                <w:cs/>
              </w:rPr>
              <w:t>أعمدة مرتّبة على محور مقطوع (68–76) بلا عارضات. B «تفوز» وكأن السباق محسوم.</w:t>
            </w:r>
          </w:p>
        </w:tc>
        <w:tc>
          <w:tcPr>
            <w:tcW w:type="dxa" w:w="5046"/>
            <w:shd w:fill="E7EEF0" w:val="clear"/>
            <w:tcMar>
              <w:top w:w="140" w:type="dxa"/>
              <w:bottom w:w="140" w:type="dxa"/>
              <w:left w:w="160" w:type="dxa"/>
              <w:right w:w="160" w:type="dxa"/>
            </w:tcMar>
            <w:tcBorders>
              <w:top w:val="single" w:sz="10" w:color="2C6E7A" w:space="0"/>
              <w:left w:val="single" w:sz="10" w:color="2C6E7A" w:space="0"/>
              <w:bottom w:val="single" w:sz="10" w:color="2C6E7A" w:space="0"/>
              <w:right w:val="single" w:sz="10" w:color="2C6E7A" w:space="0"/>
            </w:tcBorders>
          </w:tcPr>
          <w:p>
            <w:pPr>
              <w:spacing w:after="60" w:before="0" w:line="276" w:lineRule="auto"/>
              <w:bidi w:val="1"/>
              <w:jc w:val="right"/>
            </w:pPr>
            <w:r>
              <w:rPr>
                <w:rFonts w:ascii="Calibri" w:hAnsi="Calibri" w:cs="Noto Sans Arabic" w:eastAsia="Noto Sans Arabic"/>
                <w:b/>
                <w:i w:val="0"/>
                <w:color w:val="2C6E7A"/>
                <w:sz w:val="20"/>
                <w:rtl/>
                <w:cs/>
              </w:rPr>
              <w:t>لماذا هذا صادق</w:t>
            </w:r>
          </w:p>
          <w:p>
            <w:pPr>
              <w:spacing w:after="40" w:before="0" w:line="276" w:lineRule="auto"/>
              <w:bidi w:val="1"/>
              <w:jc w:val="right"/>
            </w:pPr>
            <w:r>
              <w:rPr>
                <w:rFonts w:ascii="Calibri" w:hAnsi="Calibri" w:cs="Noto Naskh Arabic" w:eastAsia="Noto Naskh Arabic"/>
                <w:b w:val="0"/>
                <w:i w:val="0"/>
                <w:color w:val="1C2833"/>
                <w:sz w:val="22"/>
                <w:rtl/>
                <w:cs/>
              </w:rPr>
              <w:t>نفس المتوسطات من صفر، مع فترة ثقة 95٪. كل العارضات تتداخل. لا يوجد فائز يُعتدّ به.</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40" w:type="dxa"/>
              <w:bottom w:w="140" w:type="dxa"/>
              <w:left w:w="200" w:type="dxa"/>
              <w:right w:w="200" w:type="dxa"/>
            </w:tcMar>
          </w:tcPr>
          <w:p>
            <w:pPr>
              <w:spacing w:after="0" w:before="0" w:line="276" w:lineRule="auto"/>
              <w:bidi w:val="1"/>
              <w:jc w:val="right"/>
            </w:pPr>
            <w:r>
              <w:rPr>
                <w:rFonts w:ascii="Calibri" w:hAnsi="Calibri" w:cs="Noto Naskh Arabic" w:eastAsia="Noto Naskh Arabic"/>
                <w:b w:val="0"/>
                <w:i w:val="0"/>
                <w:color w:val="F7F2E8"/>
                <w:sz w:val="22"/>
                <w:rtl/>
                <w:cs/>
              </w:rPr>
              <w:t>القاعدة:  متوسط بلا تشتت في سياق علمي = ادّعاء دقة زائفة. أظهر العارضة، أو لا تدّعِ الترتيب.</w:t>
            </w:r>
          </w:p>
        </w:tc>
      </w:tr>
    </w:tbl>
    <w:p>
      <w:pPr>
        <w:bidi w:val="1"/>
        <w:spacing w:after="0" w:before="0"/>
        <w:jc w:val="right"/>
      </w:pPr>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60" w:type="dxa"/>
              <w:bottom w:w="160" w:type="dxa"/>
              <w:left w:w="200" w:type="dxa"/>
              <w:right w:w="200" w:type="dxa"/>
            </w:tcMar>
          </w:tcPr>
          <w:p>
            <w:pPr>
              <w:spacing w:after="40" w:before="0" w:line="276" w:lineRule="auto"/>
              <w:bidi w:val="1"/>
              <w:jc w:val="center"/>
            </w:pPr>
            <w:r>
              <w:rPr>
                <w:rFonts w:ascii="Calibri" w:hAnsi="Calibri" w:cs="Noto Sans Arabic" w:eastAsia="Noto Sans Arabic"/>
                <w:b/>
                <w:i w:val="0"/>
                <w:color w:val="F7F2E8"/>
                <w:sz w:val="32"/>
                <w:rtl/>
                <w:cs/>
              </w:rPr>
              <w:t>مصفوفة الاختيار السريع</w:t>
            </w:r>
          </w:p>
          <w:p>
            <w:pPr>
              <w:spacing w:after="40" w:before="0" w:line="276" w:lineRule="auto"/>
              <w:bidi w:val="1"/>
              <w:jc w:val="center"/>
            </w:pPr>
            <w:r>
              <w:rPr>
                <w:rFonts w:ascii="Calibri" w:hAnsi="Calibri" w:cs="Calibri" w:eastAsia="Calibri"/>
                <w:b w:val="0"/>
                <w:i w:val="0"/>
                <w:color w:val="C6A15B"/>
                <w:sz w:val="20"/>
                <w:rtl/>
                <w:cs/>
              </w:rPr>
              <w:t>Chart chooser</w:t>
            </w:r>
          </w:p>
        </w:tc>
      </w:tr>
    </w:tbl>
    <w:p>
      <w:pPr>
        <w:spacing w:after="160" w:before="160" w:line="283" w:lineRule="auto"/>
        <w:bidi w:val="1"/>
        <w:jc w:val="right"/>
      </w:pPr>
      <w:r>
        <w:rPr>
          <w:rFonts w:ascii="Calibri" w:hAnsi="Calibri" w:cs="Noto Naskh Arabic" w:eastAsia="Noto Naskh Arabic"/>
          <w:b w:val="0"/>
          <w:i w:val="0"/>
          <w:color w:val="5B6570"/>
          <w:sz w:val="22"/>
          <w:rtl/>
          <w:cs/>
        </w:rPr>
        <w:t>اقرأ العمود الأيمن: إن طابق نيتك، ابدأ بالرسم المقترح. العمود الأيسر يحميك من الاختيار الشائع الخاطئ.</w:t>
      </w:r>
    </w:p>
    <w:tbl>
      <w:tblPr>
        <w:tblW w:type="auto" w:w="0"/>
        <w:tblLayout w:type="autofit"/>
        <w:tblLook w:firstColumn="1" w:firstRow="1" w:lastColumn="0" w:lastRow="0" w:noHBand="0" w:noVBand="1" w:val="04A0"/>
        <w:bidiVisual w:val="1"/>
      </w:tblPr>
      <w:tblGrid>
        <w:gridCol w:w="3364"/>
        <w:gridCol w:w="3364"/>
        <w:gridCol w:w="3364"/>
      </w:tblGrid>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0E2433" w:val="clear"/>
          </w:tcPr>
          <w:p>
            <w:pPr>
              <w:spacing w:after="0" w:before="0" w:line="276" w:lineRule="auto"/>
              <w:bidi w:val="1"/>
              <w:jc w:val="right"/>
            </w:pPr>
            <w:r>
              <w:rPr>
                <w:rFonts w:ascii="Calibri" w:hAnsi="Calibri" w:cs="Noto Sans Arabic" w:eastAsia="Noto Sans Arabic"/>
                <w:b/>
                <w:i w:val="0"/>
                <w:color w:val="F7F2E8"/>
                <w:sz w:val="20"/>
                <w:rtl/>
                <w:cs/>
              </w:rPr>
              <w:t>الهدف</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0E2433" w:val="clear"/>
          </w:tcPr>
          <w:p>
            <w:pPr>
              <w:spacing w:after="0" w:before="0" w:line="276" w:lineRule="auto"/>
              <w:bidi w:val="1"/>
              <w:jc w:val="right"/>
            </w:pPr>
            <w:r>
              <w:rPr>
                <w:rFonts w:ascii="Calibri" w:hAnsi="Calibri" w:cs="Noto Sans Arabic" w:eastAsia="Noto Sans Arabic"/>
                <w:b/>
                <w:i w:val="0"/>
                <w:color w:val="F7F2E8"/>
                <w:sz w:val="20"/>
                <w:rtl/>
                <w:cs/>
              </w:rPr>
              <w:t>ابدأ بـ</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0E2433" w:val="clear"/>
          </w:tcPr>
          <w:p>
            <w:pPr>
              <w:spacing w:after="0" w:before="0" w:line="276" w:lineRule="auto"/>
              <w:bidi w:val="1"/>
              <w:jc w:val="right"/>
            </w:pPr>
            <w:r>
              <w:rPr>
                <w:rFonts w:ascii="Calibri" w:hAnsi="Calibri" w:cs="Noto Sans Arabic" w:eastAsia="Noto Sans Arabic"/>
                <w:b/>
                <w:i w:val="0"/>
                <w:color w:val="F7F2E8"/>
                <w:sz w:val="20"/>
                <w:rtl/>
                <w:cs/>
              </w:rPr>
              <w:t>تجنّب عادةً</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i w:val="0"/>
                <w:color w:val="1C2833"/>
                <w:sz w:val="20"/>
                <w:rtl/>
                <w:cs/>
              </w:rPr>
              <w:t>مقارنة أحجام فئات</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1C2833"/>
                <w:sz w:val="20"/>
                <w:rtl/>
                <w:cs/>
              </w:rPr>
              <w:t>أعمدة أفقية / عمودية / لولي بوب</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C45C4A"/>
                <w:sz w:val="20"/>
                <w:rtl/>
                <w:cs/>
              </w:rPr>
              <w:t>دائرة لأكثر من 5 شرائح</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i w:val="0"/>
                <w:color w:val="1C2833"/>
                <w:sz w:val="20"/>
                <w:rtl/>
                <w:cs/>
              </w:rPr>
              <w:t>ترتيب أو دوري</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1C2833"/>
                <w:sz w:val="20"/>
                <w:rtl/>
                <w:cs/>
              </w:rPr>
              <w:t>أعمدة مرتّبة / Slope / Bump</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C45C4A"/>
                <w:sz w:val="20"/>
                <w:rtl/>
                <w:cs/>
              </w:rPr>
              <w:t>رادار لعشرة كيانات</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i w:val="0"/>
                <w:color w:val="1C2833"/>
                <w:sz w:val="20"/>
                <w:rtl/>
                <w:cs/>
              </w:rPr>
              <w:t>فرق عن هدف أو صفر</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1C2833"/>
                <w:sz w:val="20"/>
                <w:rtl/>
                <w:cs/>
              </w:rPr>
              <w:t>أعمدة متباعدة / فائض-عجز</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C45C4A"/>
                <w:sz w:val="20"/>
                <w:rtl/>
                <w:cs/>
              </w:rPr>
              <w:t>دائرة أو مساحة نسبية</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i w:val="0"/>
                <w:color w:val="1C2833"/>
                <w:sz w:val="20"/>
                <w:rtl/>
                <w:cs/>
              </w:rPr>
              <w:t>شكل التوزيع والشواذ</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1C2833"/>
                <w:sz w:val="20"/>
                <w:rtl/>
                <w:cs/>
              </w:rPr>
              <w:t>مدرج / صندوق / كمان / سرب</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C45C4A"/>
                <w:sz w:val="20"/>
                <w:rtl/>
                <w:cs/>
              </w:rPr>
              <w:t>عمود لبيانات متصلة</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i w:val="0"/>
                <w:color w:val="1C2833"/>
                <w:sz w:val="20"/>
                <w:rtl/>
                <w:cs/>
              </w:rPr>
              <w:t>علاقة بين متغيّرين</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1C2833"/>
                <w:sz w:val="20"/>
                <w:rtl/>
                <w:cs/>
              </w:rPr>
              <w:t>انتشار / فقاعات / Hexbin</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C45C4A"/>
                <w:sz w:val="20"/>
                <w:rtl/>
                <w:cs/>
              </w:rPr>
              <w:t>خط يوحي بزمن غير موجود</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i w:val="0"/>
                <w:color w:val="1C2833"/>
                <w:sz w:val="20"/>
                <w:rtl/>
                <w:cs/>
              </w:rPr>
              <w:t>اتجاه عبر الزمن</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1C2833"/>
                <w:sz w:val="20"/>
                <w:rtl/>
                <w:cs/>
              </w:rPr>
              <w:t>خط / مساحة / شموع للأسواق</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C45C4A"/>
                <w:sz w:val="20"/>
                <w:rtl/>
                <w:cs/>
              </w:rPr>
              <w:t>دائرة لكل سنة</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i w:val="0"/>
                <w:color w:val="1C2833"/>
                <w:sz w:val="20"/>
                <w:rtl/>
                <w:cs/>
              </w:rPr>
              <w:t>حصّة من كلّ</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1C2833"/>
                <w:sz w:val="20"/>
                <w:rtl/>
                <w:cs/>
              </w:rPr>
              <w:t>مكدّس 100٪ / وافل / شريط</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C45C4A"/>
                <w:sz w:val="20"/>
                <w:rtl/>
                <w:cs/>
              </w:rPr>
              <w:t>دائرة ثلاثية الأبعاد</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i w:val="0"/>
                <w:color w:val="1C2833"/>
                <w:sz w:val="20"/>
                <w:rtl/>
                <w:cs/>
              </w:rPr>
              <w:t>تركيب هرمي</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1C2833"/>
                <w:sz w:val="20"/>
                <w:rtl/>
                <w:cs/>
              </w:rPr>
              <w:t>Treemap / Sunburst / Icicle</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C45C4A"/>
                <w:sz w:val="20"/>
                <w:rtl/>
                <w:cs/>
              </w:rPr>
              <w:t>دوائر متداخلة بلا مقياس</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i w:val="0"/>
                <w:color w:val="1C2833"/>
                <w:sz w:val="20"/>
                <w:rtl/>
                <w:cs/>
              </w:rPr>
              <w:t>جغرافيا بمعدّل</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1C2833"/>
                <w:sz w:val="20"/>
                <w:rtl/>
                <w:cs/>
              </w:rPr>
              <w:t>Choropleth</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C45C4A"/>
                <w:sz w:val="20"/>
                <w:rtl/>
                <w:cs/>
              </w:rPr>
              <w:t>تلوين المجاميع المطلقة</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i w:val="0"/>
                <w:color w:val="1C2833"/>
                <w:sz w:val="20"/>
                <w:rtl/>
                <w:cs/>
              </w:rPr>
              <w:t>جغرافيا بعدد مطلق</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1C2833"/>
                <w:sz w:val="20"/>
                <w:rtl/>
                <w:cs/>
              </w:rPr>
              <w:t>فقاعات على خريطة / كثافة نقاط</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C45C4A"/>
                <w:sz w:val="20"/>
                <w:rtl/>
                <w:cs/>
              </w:rPr>
              <w:t>Choropleth للمجاميع</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i w:val="0"/>
                <w:color w:val="1C2833"/>
                <w:sz w:val="20"/>
                <w:rtl/>
                <w:cs/>
              </w:rPr>
              <w:t>حركة كمّيات</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1C2833"/>
                <w:sz w:val="20"/>
                <w:rtl/>
                <w:cs/>
              </w:rPr>
              <w:t>Sankey / Alluvial</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C45C4A"/>
                <w:sz w:val="20"/>
                <w:rtl/>
                <w:cs/>
              </w:rPr>
              <w:t>Chord إذا لزم رقم دقيق</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i w:val="0"/>
                <w:color w:val="1C2833"/>
                <w:sz w:val="20"/>
                <w:rtl/>
                <w:cs/>
              </w:rPr>
              <w:t>مؤشر مقابل هدف</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1C2833"/>
                <w:sz w:val="20"/>
                <w:rtl/>
                <w:cs/>
              </w:rPr>
              <w:t>Bullet</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C45C4A"/>
                <w:sz w:val="20"/>
                <w:rtl/>
                <w:cs/>
              </w:rPr>
              <w:t>Gauge يسرق الصفحة</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i w:val="0"/>
                <w:color w:val="1C2833"/>
                <w:sz w:val="20"/>
                <w:rtl/>
                <w:cs/>
              </w:rPr>
              <w:t>عدم يقين</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1C2833"/>
                <w:sz w:val="20"/>
                <w:rtl/>
                <w:cs/>
              </w:rPr>
              <w:t>عارضات خطأ / مروحة</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FFFFF" w:val="clear"/>
          </w:tcPr>
          <w:p>
            <w:pPr>
              <w:spacing w:after="0" w:before="0" w:line="276" w:lineRule="auto"/>
              <w:bidi w:val="1"/>
              <w:jc w:val="right"/>
            </w:pPr>
            <w:r>
              <w:rPr>
                <w:rFonts w:ascii="Calibri" w:hAnsi="Calibri" w:cs="Noto Naskh Arabic" w:eastAsia="Noto Naskh Arabic"/>
                <w:b w:val="0"/>
                <w:i w:val="0"/>
                <w:color w:val="C45C4A"/>
                <w:sz w:val="20"/>
                <w:rtl/>
                <w:cs/>
              </w:rPr>
              <w:t>نقطة متوسطة وحدها</w:t>
            </w:r>
          </w:p>
        </w:tc>
      </w:tr>
      <w:tr>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i w:val="0"/>
                <w:color w:val="1C2833"/>
                <w:sz w:val="20"/>
                <w:rtl/>
                <w:cs/>
              </w:rPr>
              <w:t>نص وانطباع</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1C2833"/>
                <w:sz w:val="20"/>
                <w:rtl/>
                <w:cs/>
              </w:rPr>
              <w:t>جدول تكرار / أعمدة كلمات</w:t>
            </w:r>
          </w:p>
        </w:tc>
        <w:tc>
          <w:tcPr>
            <w:tcW w:type="dxa" w:w="3364"/>
            <w:tcMar>
              <w:top w:w="100" w:type="dxa"/>
              <w:bottom w:w="100" w:type="dxa"/>
              <w:left w:w="120" w:type="dxa"/>
              <w:right w:w="120" w:type="dxa"/>
            </w:tcMar>
            <w:tcBorders>
              <w:top w:val="single" w:sz="6" w:color="C9BFAE" w:space="0"/>
              <w:left w:val="single" w:sz="6" w:color="C9BFAE" w:space="0"/>
              <w:bottom w:val="single" w:sz="6" w:color="C9BFAE" w:space="0"/>
              <w:right w:val="single" w:sz="6" w:color="C9BFAE" w:space="0"/>
            </w:tcBorders>
            <w:shd w:fill="F7F2E8" w:val="clear"/>
          </w:tcPr>
          <w:p>
            <w:pPr>
              <w:spacing w:after="0" w:before="0" w:line="276" w:lineRule="auto"/>
              <w:bidi w:val="1"/>
              <w:jc w:val="right"/>
            </w:pPr>
            <w:r>
              <w:rPr>
                <w:rFonts w:ascii="Calibri" w:hAnsi="Calibri" w:cs="Noto Naskh Arabic" w:eastAsia="Noto Naskh Arabic"/>
                <w:b w:val="0"/>
                <w:i w:val="0"/>
                <w:color w:val="C45C4A"/>
                <w:sz w:val="20"/>
                <w:rtl/>
                <w:cs/>
              </w:rPr>
              <w:t>سحابة كلمات لقرار</w:t>
            </w:r>
          </w:p>
        </w:tc>
      </w:tr>
    </w:tbl>
    <w:p>
      <w:pPr>
        <w:spacing w:after="120" w:before="200" w:line="283" w:lineRule="auto"/>
        <w:bidi w:val="1"/>
        <w:jc w:val="right"/>
      </w:pPr>
      <w:r>
        <w:rPr>
          <w:rFonts w:ascii="Calibri" w:hAnsi="Calibri" w:cs="Noto Naskh Arabic" w:eastAsia="Noto Naskh Arabic"/>
          <w:b w:val="0"/>
          <w:i/>
          <w:color w:val="5B6570"/>
          <w:sz w:val="20"/>
          <w:rtl/>
          <w:cs/>
        </w:rPr>
        <w:t>ملاحظة: بعض الرسوم تنتمي لأكثر من عائلة (الشلال حجم وتدفق، الخريطة الحرارية علاقة وتوزيع). وُضعت في العائلة التي تُستخدم فيها أكثر.</w:t>
      </w:r>
    </w:p>
    <w:p>
      <w:pPr>
        <w:bidi w:val="1"/>
        <w:spacing w:after="0" w:before="0"/>
        <w:jc w:val="right"/>
      </w:pPr>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60" w:type="dxa"/>
              <w:bottom w:w="160" w:type="dxa"/>
              <w:left w:w="200" w:type="dxa"/>
              <w:right w:w="200" w:type="dxa"/>
            </w:tcMar>
          </w:tcPr>
          <w:p>
            <w:pPr>
              <w:spacing w:after="40" w:before="0" w:line="276" w:lineRule="auto"/>
              <w:bidi w:val="1"/>
              <w:jc w:val="center"/>
            </w:pPr>
            <w:r>
              <w:rPr>
                <w:rFonts w:ascii="Calibri" w:hAnsi="Calibri" w:cs="Noto Sans Arabic" w:eastAsia="Noto Sans Arabic"/>
                <w:b/>
                <w:i w:val="0"/>
                <w:color w:val="F7F2E8"/>
                <w:sz w:val="32"/>
                <w:rtl/>
                <w:cs/>
              </w:rPr>
              <w:t>فهرس العائلات والرسوم</w:t>
            </w:r>
          </w:p>
          <w:p>
            <w:pPr>
              <w:spacing w:after="40" w:before="0" w:line="276" w:lineRule="auto"/>
              <w:bidi w:val="1"/>
              <w:jc w:val="center"/>
            </w:pPr>
            <w:r>
              <w:rPr>
                <w:rFonts w:ascii="Calibri" w:hAnsi="Calibri" w:cs="Calibri" w:eastAsia="Calibri"/>
                <w:b w:val="0"/>
                <w:i w:val="0"/>
                <w:color w:val="C6A15B"/>
                <w:sz w:val="20"/>
                <w:rtl/>
                <w:cs/>
              </w:rPr>
              <w:t>Contents</w:t>
            </w:r>
          </w:p>
        </w:tc>
      </w:tr>
    </w:tbl>
    <w:p>
      <w:pPr>
        <w:spacing w:after="80" w:before="0" w:line="283" w:lineRule="auto"/>
        <w:bidi w:val="1"/>
        <w:jc w:val="right"/>
      </w:pPr>
      <w:r>
        <w:rPr>
          <w:rFonts w:ascii="Calibri" w:hAnsi="Calibri" w:cs="Noto Naskh Arabic" w:eastAsia="Noto Naskh Arabic"/>
          <w:b w:val="0"/>
          <w:i w:val="0"/>
          <w:color w:val="1C2833"/>
          <w:sz w:val="12"/>
          <w:rtl/>
          <w:cs/>
        </w:rPr>
      </w:r>
    </w:p>
    <w:p>
      <w:pPr>
        <w:spacing w:after="60" w:before="160" w:line="283" w:lineRule="auto"/>
        <w:bidi w:val="1"/>
        <w:jc w:val="right"/>
      </w:pPr>
      <w:r>
        <w:rPr>
          <w:rFonts w:ascii="Calibri" w:hAnsi="Calibri" w:cs="Noto Sans Arabic" w:eastAsia="Noto Sans Arabic"/>
          <w:b/>
          <w:i w:val="0"/>
          <w:color w:val="0E2433"/>
          <w:sz w:val="26"/>
          <w:rtl/>
          <w:cs/>
        </w:rPr>
        <w:t>الحجم والمقارنة  —  Magnitude</w:t>
      </w:r>
    </w:p>
    <w:p>
      <w:pPr>
        <w:spacing w:after="80" w:before="0" w:line="283" w:lineRule="auto"/>
        <w:bidi w:val="1"/>
        <w:jc w:val="right"/>
      </w:pPr>
      <w:r>
        <w:rPr>
          <w:rFonts w:ascii="Calibri" w:hAnsi="Calibri" w:cs="Noto Naskh Arabic" w:eastAsia="Noto Naskh Arabic"/>
          <w:b w:val="0"/>
          <w:i w:val="0"/>
          <w:color w:val="5B6570"/>
          <w:sz w:val="20"/>
          <w:rtl/>
          <w:cs/>
        </w:rPr>
        <w:t>01 المخطط العمودي  ·  02 المخطط الشريطي الأفقي  ·  03 الأعمدة المجمّعة  ·  04 مخطط المصّاصة  ·  05 المخطط النقطي (كليفِلاند)  ·  06 المخطط الأيقوني  ·  07 المساحات النسبية  ·  08 مخطط الرصاصة  ·  09 الأعمدة الدائرية</w:t>
      </w:r>
    </w:p>
    <w:p>
      <w:pPr>
        <w:spacing w:after="60" w:before="160" w:line="283" w:lineRule="auto"/>
        <w:bidi w:val="1"/>
        <w:jc w:val="right"/>
      </w:pPr>
      <w:r>
        <w:rPr>
          <w:rFonts w:ascii="Calibri" w:hAnsi="Calibri" w:cs="Noto Sans Arabic" w:eastAsia="Noto Sans Arabic"/>
          <w:b/>
          <w:i w:val="0"/>
          <w:color w:val="0E2433"/>
          <w:sz w:val="26"/>
          <w:rtl/>
          <w:cs/>
        </w:rPr>
        <w:t>الترتيب  —  Ranking</w:t>
      </w:r>
    </w:p>
    <w:p>
      <w:pPr>
        <w:spacing w:after="80" w:before="0" w:line="283" w:lineRule="auto"/>
        <w:bidi w:val="1"/>
        <w:jc w:val="right"/>
      </w:pPr>
      <w:r>
        <w:rPr>
          <w:rFonts w:ascii="Calibri" w:hAnsi="Calibri" w:cs="Noto Naskh Arabic" w:eastAsia="Noto Naskh Arabic"/>
          <w:b w:val="0"/>
          <w:i w:val="0"/>
          <w:color w:val="5B6570"/>
          <w:sz w:val="20"/>
          <w:rtl/>
          <w:cs/>
        </w:rPr>
        <w:t>10 الأعمدة المرتبة  ·  11 مخطط الميل  ·  12 مخطط الرتب عبر الزمن  ·  13 مخطط الدمبل</w:t>
      </w:r>
    </w:p>
    <w:p>
      <w:pPr>
        <w:spacing w:after="60" w:before="160" w:line="283" w:lineRule="auto"/>
        <w:bidi w:val="1"/>
        <w:jc w:val="right"/>
      </w:pPr>
      <w:r>
        <w:rPr>
          <w:rFonts w:ascii="Calibri" w:hAnsi="Calibri" w:cs="Noto Sans Arabic" w:eastAsia="Noto Sans Arabic"/>
          <w:b/>
          <w:i w:val="0"/>
          <w:color w:val="0E2433"/>
          <w:sz w:val="26"/>
          <w:rtl/>
          <w:cs/>
        </w:rPr>
        <w:t>الانحراف عن مرجع  —  Deviation</w:t>
      </w:r>
    </w:p>
    <w:p>
      <w:pPr>
        <w:spacing w:after="80" w:before="0" w:line="283" w:lineRule="auto"/>
        <w:bidi w:val="1"/>
        <w:jc w:val="right"/>
      </w:pPr>
      <w:r>
        <w:rPr>
          <w:rFonts w:ascii="Calibri" w:hAnsi="Calibri" w:cs="Noto Naskh Arabic" w:eastAsia="Noto Naskh Arabic"/>
          <w:b w:val="0"/>
          <w:i w:val="0"/>
          <w:color w:val="5B6570"/>
          <w:sz w:val="20"/>
          <w:rtl/>
          <w:cs/>
        </w:rPr>
        <w:t>14 الأعمدة المتباعدة  ·  15 مخطط الفراشة / العمود الفقري  ·  16 فائض وعجز مساحي</w:t>
      </w:r>
    </w:p>
    <w:p>
      <w:pPr>
        <w:spacing w:after="60" w:before="160" w:line="283" w:lineRule="auto"/>
        <w:bidi w:val="1"/>
        <w:jc w:val="right"/>
      </w:pPr>
      <w:r>
        <w:rPr>
          <w:rFonts w:ascii="Calibri" w:hAnsi="Calibri" w:cs="Noto Sans Arabic" w:eastAsia="Noto Sans Arabic"/>
          <w:b/>
          <w:i w:val="0"/>
          <w:color w:val="0E2433"/>
          <w:sz w:val="26"/>
          <w:rtl/>
          <w:cs/>
        </w:rPr>
        <w:t>التوزيع  —  Distribution</w:t>
      </w:r>
    </w:p>
    <w:p>
      <w:pPr>
        <w:spacing w:after="80" w:before="0" w:line="283" w:lineRule="auto"/>
        <w:bidi w:val="1"/>
        <w:jc w:val="right"/>
      </w:pPr>
      <w:r>
        <w:rPr>
          <w:rFonts w:ascii="Calibri" w:hAnsi="Calibri" w:cs="Noto Naskh Arabic" w:eastAsia="Noto Naskh Arabic"/>
          <w:b w:val="0"/>
          <w:i w:val="0"/>
          <w:color w:val="5B6570"/>
          <w:sz w:val="20"/>
          <w:rtl/>
          <w:cs/>
        </w:rPr>
        <w:t>17 المدرج التكراري  ·  18 منحنى الكثافة  ·  19 المخطط الصندوقي  ·  20 الكمان  ·  21 سرب النحل  ·  22 خطوط التلال  ·  23 الشريط النقطي  ·  24 مخطط كمي-كمّي  ·  25 التوزيع التراكمي التجريبي  ·  26 الهرم السكّاني</w:t>
      </w:r>
    </w:p>
    <w:p>
      <w:pPr>
        <w:spacing w:after="60" w:before="160" w:line="283" w:lineRule="auto"/>
        <w:bidi w:val="1"/>
        <w:jc w:val="right"/>
      </w:pPr>
      <w:r>
        <w:rPr>
          <w:rFonts w:ascii="Calibri" w:hAnsi="Calibri" w:cs="Noto Sans Arabic" w:eastAsia="Noto Sans Arabic"/>
          <w:b/>
          <w:i w:val="0"/>
          <w:color w:val="0E2433"/>
          <w:sz w:val="26"/>
          <w:rtl/>
          <w:cs/>
        </w:rPr>
        <w:t>العلاقات والارتباط  —  Correlation</w:t>
      </w:r>
    </w:p>
    <w:p>
      <w:pPr>
        <w:spacing w:after="80" w:before="0" w:line="283" w:lineRule="auto"/>
        <w:bidi w:val="1"/>
        <w:jc w:val="right"/>
      </w:pPr>
      <w:r>
        <w:rPr>
          <w:rFonts w:ascii="Calibri" w:hAnsi="Calibri" w:cs="Noto Naskh Arabic" w:eastAsia="Noto Naskh Arabic"/>
          <w:b w:val="0"/>
          <w:i w:val="0"/>
          <w:color w:val="5B6570"/>
          <w:sz w:val="20"/>
          <w:rtl/>
          <w:cs/>
        </w:rPr>
        <w:t>27 مخطط الانتشار  ·  28 مخطط الفقاعات  ·  29 التجميع السداسي  ·  30 كثافة ثنائية الأبعاد  ·  31 الانتشار المتصل  ·  32 مصفوفة الارتباط  ·  33 الإحداثيات المتوازية</w:t>
      </w:r>
    </w:p>
    <w:p>
      <w:pPr>
        <w:spacing w:after="60" w:before="160" w:line="283" w:lineRule="auto"/>
        <w:bidi w:val="1"/>
        <w:jc w:val="right"/>
      </w:pPr>
      <w:r>
        <w:rPr>
          <w:rFonts w:ascii="Calibri" w:hAnsi="Calibri" w:cs="Noto Sans Arabic" w:eastAsia="Noto Sans Arabic"/>
          <w:b/>
          <w:i w:val="0"/>
          <w:color w:val="0E2433"/>
          <w:sz w:val="26"/>
          <w:rtl/>
          <w:cs/>
        </w:rPr>
        <w:t>التغيّر عبر الزمن  —  Change over time</w:t>
      </w:r>
    </w:p>
    <w:p>
      <w:pPr>
        <w:spacing w:after="80" w:before="0" w:line="283" w:lineRule="auto"/>
        <w:bidi w:val="1"/>
        <w:jc w:val="right"/>
      </w:pPr>
      <w:r>
        <w:rPr>
          <w:rFonts w:ascii="Calibri" w:hAnsi="Calibri" w:cs="Noto Naskh Arabic" w:eastAsia="Noto Naskh Arabic"/>
          <w:b w:val="0"/>
          <w:i w:val="0"/>
          <w:color w:val="5B6570"/>
          <w:sz w:val="20"/>
          <w:rtl/>
          <w:cs/>
        </w:rPr>
        <w:t>34 المخطط الخطّي  ·  35 خطوط متعددة  ·  36 المخطط المساحي  ·  37 المساحة المكدّسة  ·  38 المخطط الانسيابي  ·  39 الخط الدرجي  ·  40 الشموع اليابانية  ·  41 خريطة حرارية تقويمية  ·  42 الشرارة  ·  43 مخطط الضبط  ·  44 مخطط المروحة  ·  45 الأفق  ·  46 مخطط المدى</w:t>
      </w:r>
    </w:p>
    <w:p>
      <w:pPr>
        <w:spacing w:after="60" w:before="160" w:line="283" w:lineRule="auto"/>
        <w:bidi w:val="1"/>
        <w:jc w:val="right"/>
      </w:pPr>
      <w:r>
        <w:rPr>
          <w:rFonts w:ascii="Calibri" w:hAnsi="Calibri" w:cs="Noto Sans Arabic" w:eastAsia="Noto Sans Arabic"/>
          <w:b/>
          <w:i w:val="0"/>
          <w:color w:val="0E2433"/>
          <w:sz w:val="26"/>
          <w:rtl/>
          <w:cs/>
        </w:rPr>
        <w:t>الجزء من الكل  —  Part-to-whole</w:t>
      </w:r>
    </w:p>
    <w:p>
      <w:pPr>
        <w:spacing w:after="80" w:before="0" w:line="283" w:lineRule="auto"/>
        <w:bidi w:val="1"/>
        <w:jc w:val="right"/>
      </w:pPr>
      <w:r>
        <w:rPr>
          <w:rFonts w:ascii="Calibri" w:hAnsi="Calibri" w:cs="Noto Naskh Arabic" w:eastAsia="Noto Naskh Arabic"/>
          <w:b w:val="0"/>
          <w:i w:val="0"/>
          <w:color w:val="5B6570"/>
          <w:sz w:val="20"/>
          <w:rtl/>
          <w:cs/>
        </w:rPr>
        <w:t>47 الدائرة  ·  48 الدونات  ·  49 الوافل  ·  50 الأعمدة المكدّسة  ·  51 مكدّس 100٪  ·  52 الخريطة الشجرية  ·  53 قرص الشمس  ·  54 ماريميكو / ميكو  ·  55 الدوائر المتراصّة  ·  56 الشلال  ·  57 القمع  ·  58 الهرم الطبقي</w:t>
      </w:r>
    </w:p>
    <w:p>
      <w:pPr>
        <w:spacing w:after="60" w:before="160" w:line="283" w:lineRule="auto"/>
        <w:bidi w:val="1"/>
        <w:jc w:val="right"/>
      </w:pPr>
      <w:r>
        <w:rPr>
          <w:rFonts w:ascii="Calibri" w:hAnsi="Calibri" w:cs="Noto Sans Arabic" w:eastAsia="Noto Sans Arabic"/>
          <w:b/>
          <w:i w:val="0"/>
          <w:color w:val="0E2433"/>
          <w:sz w:val="26"/>
          <w:rtl/>
          <w:cs/>
        </w:rPr>
        <w:t>الجغرافيا والمكان  —  Spatial</w:t>
      </w:r>
    </w:p>
    <w:p>
      <w:pPr>
        <w:spacing w:after="80" w:before="0" w:line="283" w:lineRule="auto"/>
        <w:bidi w:val="1"/>
        <w:jc w:val="right"/>
      </w:pPr>
      <w:r>
        <w:rPr>
          <w:rFonts w:ascii="Calibri" w:hAnsi="Calibri" w:cs="Noto Naskh Arabic" w:eastAsia="Noto Naskh Arabic"/>
          <w:b w:val="0"/>
          <w:i w:val="0"/>
          <w:color w:val="5B6570"/>
          <w:sz w:val="20"/>
          <w:rtl/>
          <w:cs/>
        </w:rPr>
        <w:t>59 الخريطة التظليلية  ·  60 خريطة الفقاعات  ·  61 كثافة النقاط  ·  62 خريطة الربط</w:t>
      </w:r>
    </w:p>
    <w:p>
      <w:pPr>
        <w:spacing w:after="60" w:before="160" w:line="283" w:lineRule="auto"/>
        <w:bidi w:val="1"/>
        <w:jc w:val="right"/>
      </w:pPr>
      <w:r>
        <w:rPr>
          <w:rFonts w:ascii="Calibri" w:hAnsi="Calibri" w:cs="Noto Sans Arabic" w:eastAsia="Noto Sans Arabic"/>
          <w:b/>
          <w:i w:val="0"/>
          <w:color w:val="0E2433"/>
          <w:sz w:val="26"/>
          <w:rtl/>
          <w:cs/>
        </w:rPr>
        <w:t>التدفق والشبكات  —  Flow &amp; networks</w:t>
      </w:r>
    </w:p>
    <w:p>
      <w:pPr>
        <w:spacing w:after="80" w:before="0" w:line="283" w:lineRule="auto"/>
        <w:bidi w:val="1"/>
        <w:jc w:val="right"/>
      </w:pPr>
      <w:r>
        <w:rPr>
          <w:rFonts w:ascii="Calibri" w:hAnsi="Calibri" w:cs="Noto Naskh Arabic" w:eastAsia="Noto Naskh Arabic"/>
          <w:b w:val="0"/>
          <w:i w:val="0"/>
          <w:color w:val="5B6570"/>
          <w:sz w:val="20"/>
          <w:rtl/>
          <w:cs/>
        </w:rPr>
        <w:t>63 سانكي  ·  64 الوتر  ·  65 الشبكة  ·  66 مخطط الأقواس  ·  67 الطمي / ألوفيال</w:t>
      </w:r>
    </w:p>
    <w:p>
      <w:pPr>
        <w:spacing w:after="60" w:before="160" w:line="283" w:lineRule="auto"/>
        <w:bidi w:val="1"/>
        <w:jc w:val="right"/>
      </w:pPr>
      <w:r>
        <w:rPr>
          <w:rFonts w:ascii="Calibri" w:hAnsi="Calibri" w:cs="Noto Sans Arabic" w:eastAsia="Noto Sans Arabic"/>
          <w:b/>
          <w:i w:val="0"/>
          <w:color w:val="0E2433"/>
          <w:sz w:val="26"/>
          <w:rtl/>
          <w:cs/>
        </w:rPr>
        <w:t>الهرمية والمتخصص  —  Hierarchy &amp; specialised</w:t>
      </w:r>
    </w:p>
    <w:p>
      <w:pPr>
        <w:spacing w:after="80" w:before="0" w:line="283" w:lineRule="auto"/>
        <w:bidi w:val="1"/>
        <w:jc w:val="right"/>
      </w:pPr>
      <w:r>
        <w:rPr>
          <w:rFonts w:ascii="Calibri" w:hAnsi="Calibri" w:cs="Noto Naskh Arabic" w:eastAsia="Noto Naskh Arabic"/>
          <w:b w:val="0"/>
          <w:i w:val="0"/>
          <w:color w:val="5B6570"/>
          <w:sz w:val="20"/>
          <w:rtl/>
          <w:cs/>
        </w:rPr>
        <w:t>68 الشجرة التجميعية  ·  69 الأعمدة الجليدية  ·  70 الرادار / العنكبوت  ·  71 وردة نايتنجيل  ·  72 غانت  ·  73 الخط الزمني  ·  74 فين  ·  75 باريتو  ·  76 المقياس / العدّاد  ·  77 أعمدة الخطأ  ·  78 الخريطة الحرارية  ·  79 سحابة الكلمات  ·  80 افتتاح-أعلى-أدنى-إغلاق</w:t>
      </w:r>
    </w:p>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11" name="Picture 11"/>
            <wp:cNvGraphicFramePr>
              <a:graphicFrameLocks noChangeAspect="1"/>
            </wp:cNvGraphicFramePr>
            <a:graphic>
              <a:graphicData uri="http://schemas.openxmlformats.org/drawingml/2006/picture">
                <pic:pic>
                  <pic:nvPicPr>
                    <pic:cNvPr id="0" name="d_magnitude.png"/>
                    <pic:cNvPicPr/>
                  </pic:nvPicPr>
                  <pic:blipFill>
                    <a:blip r:embed="rId23"/>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01   المخطط العمودي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Column Chart</w:t>
            </w:r>
          </w:p>
        </w:tc>
      </w:tr>
    </w:tbl>
    <w:p>
      <w:pPr>
        <w:spacing w:after="120" w:before="80"/>
        <w:jc w:val="center"/>
        <w:bidi w:val="1"/>
      </w:pPr>
      <w:r>
        <w:drawing>
          <wp:inline xmlns:a="http://schemas.openxmlformats.org/drawingml/2006/main" xmlns:pic="http://schemas.openxmlformats.org/drawingml/2006/picture">
            <wp:extent cx="5976000" cy="3361500"/>
            <wp:docPr id="12" name="Picture 12"/>
            <wp:cNvGraphicFramePr>
              <a:graphicFrameLocks noChangeAspect="1"/>
            </wp:cNvGraphicFramePr>
            <a:graphic>
              <a:graphicData uri="http://schemas.openxmlformats.org/drawingml/2006/picture">
                <pic:pic>
                  <pic:nvPicPr>
                    <pic:cNvPr id="0" name="column.png"/>
                    <pic:cNvPicPr/>
                  </pic:nvPicPr>
                  <pic:blipFill>
                    <a:blip r:embed="rId24"/>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مستطيلات رأسية يتناسب ارتفاعها مع القيمة. أقوى أداة يومية لمقارنة أرقام قليلة إلى متوسطة.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قيم بين فئات قليلة (حتى 7–10)، أو تتبّع قيمة واحدة عبر فترات زمنية قصيرة. ممتاز حين يريد القارئ قراءة الرقم نفسه لا شكل الاتجاه فقط.</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إذا كانت أسماء الفئات طويلة جداً (فضّل الأفقي)، ولا إذا تجاوزت الفئات خمس عشرة فئة دون ترتيب واضح.</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فئة اسمية أو زمنية قصيرة + مقياس كمّي واحد.</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بدء المحور الصادي من قيمة غير صفر دون تنبيه؛ ذلك يضخّم الفروق.</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الأعمدة الأفقية للأسماء الطويلة، أو اللولي بوب إن أردت تخفيف الحبر.</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02   المخطط الشريطي الأفقي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Bar Chart</w:t>
            </w:r>
          </w:p>
        </w:tc>
      </w:tr>
    </w:tbl>
    <w:p>
      <w:pPr>
        <w:spacing w:after="120" w:before="80"/>
        <w:jc w:val="center"/>
        <w:bidi w:val="1"/>
      </w:pPr>
      <w:r>
        <w:drawing>
          <wp:inline xmlns:a="http://schemas.openxmlformats.org/drawingml/2006/main" xmlns:pic="http://schemas.openxmlformats.org/drawingml/2006/picture">
            <wp:extent cx="5976000" cy="3144130"/>
            <wp:docPr id="13" name="Picture 13"/>
            <wp:cNvGraphicFramePr>
              <a:graphicFrameLocks noChangeAspect="1"/>
            </wp:cNvGraphicFramePr>
            <a:graphic>
              <a:graphicData uri="http://schemas.openxmlformats.org/drawingml/2006/picture">
                <pic:pic>
                  <pic:nvPicPr>
                    <pic:cNvPr id="0" name="bar.png"/>
                    <pic:cNvPicPr/>
                  </pic:nvPicPr>
                  <pic:blipFill>
                    <a:blip r:embed="rId25"/>
                    <a:stretch>
                      <a:fillRect/>
                    </a:stretch>
                  </pic:blipFill>
                  <pic:spPr>
                    <a:xfrm>
                      <a:off x="0" y="0"/>
                      <a:ext cx="5976000" cy="314413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نفس منطق العمودي لكن الأشرطة تنمو أفقياً. العين تقارن الأطوال بسهولة فائقة.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تصنيفات بأسماء طويلة، أو عدد فئات أكبر من سبعة، أو قيم سالبة تحتاج محوراً واضحاً. الخيار الأول لجداول الترتيب.</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لسلاسل زمنية طويلة؛ الخط أوضح للاتجاه.</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قيمة كمّية.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ترتيب عشوائي للفئات بينما القصة ترتيب. رتّب حسب القيمة ما لم يكن هناك ترتيب طبيعي (زمن/عمر).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اللولي بوب أو النقطي (Cleveland) لتقليل الحبر.</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03   الأعمدة المجمّعة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Grouped / Clustered Bar</w:t>
            </w:r>
          </w:p>
        </w:tc>
      </w:tr>
    </w:tbl>
    <w:p>
      <w:pPr>
        <w:spacing w:after="120" w:before="80"/>
        <w:jc w:val="center"/>
        <w:bidi w:val="1"/>
      </w:pPr>
      <w:r>
        <w:drawing>
          <wp:inline xmlns:a="http://schemas.openxmlformats.org/drawingml/2006/main" xmlns:pic="http://schemas.openxmlformats.org/drawingml/2006/picture">
            <wp:extent cx="5976000" cy="3361500"/>
            <wp:docPr id="14" name="Picture 14"/>
            <wp:cNvGraphicFramePr>
              <a:graphicFrameLocks noChangeAspect="1"/>
            </wp:cNvGraphicFramePr>
            <a:graphic>
              <a:graphicData uri="http://schemas.openxmlformats.org/drawingml/2006/picture">
                <pic:pic>
                  <pic:nvPicPr>
                    <pic:cNvPr id="0" name="grouped_bar.png"/>
                    <pic:cNvPicPr/>
                  </pic:nvPicPr>
                  <pic:blipFill>
                    <a:blip r:embed="rId26"/>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مجموعة أعمدة متجاورة داخل كل فئة، لمقارنة سلسلتين أو ثلاث عبر الفئات نفسها.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منتجات أو مجموعات عبر أرباع أو مناطق، حين يهمّ الرقم المطلق لكل مجموعة لا حصّتها فقط.</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أكثر من ثلاث سلاسل تصبح قراءةً متعبة. لا تستخدمه لجزء-من-كل؛ الفضّل المكدّس أو 100٪.</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فئة × مجموعة صغيرة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ألوان متشابهة بلا أسطورة واضحة، أو تجميع سلاسل لا تُقارن على المقياس نفسه.</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Dumbbell إذا كنت تقارن نقطتين زمنيتين فقط.</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04   مخطط المصّاصة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Lollipop Chart</w:t>
            </w:r>
          </w:p>
        </w:tc>
      </w:tr>
    </w:tbl>
    <w:p>
      <w:pPr>
        <w:spacing w:after="120" w:before="80"/>
        <w:jc w:val="center"/>
        <w:bidi w:val="1"/>
      </w:pPr>
      <w:r>
        <w:drawing>
          <wp:inline xmlns:a="http://schemas.openxmlformats.org/drawingml/2006/main" xmlns:pic="http://schemas.openxmlformats.org/drawingml/2006/picture">
            <wp:extent cx="5976000" cy="3289335"/>
            <wp:docPr id="15" name="Picture 15"/>
            <wp:cNvGraphicFramePr>
              <a:graphicFrameLocks noChangeAspect="1"/>
            </wp:cNvGraphicFramePr>
            <a:graphic>
              <a:graphicData uri="http://schemas.openxmlformats.org/drawingml/2006/picture">
                <pic:pic>
                  <pic:nvPicPr>
                    <pic:cNvPr id="0" name="lollipop.png"/>
                    <pic:cNvPicPr/>
                  </pic:nvPicPr>
                  <pic:blipFill>
                    <a:blip r:embed="rId27"/>
                    <a:stretch>
                      <a:fillRect/>
                    </a:stretch>
                  </pic:blipFill>
                  <pic:spPr>
                    <a:xfrm>
                      <a:off x="0" y="0"/>
                      <a:ext cx="5976000" cy="328933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خط رفيع ينتهي بنقطة. يقلّل الحبر عن العمود ويُبرز القيمة النهائية.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ترتيب فئات كثيرة نسبياً، أو حين تريد مظهراً أخف من الأعمدة دون فقدان دقة الموضع.</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يناسب قيماً قريبة جداً إن كانت النقطة صغيرة جداً، ولا لعرض مكوّنات داخل القيمة.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قيمة واحدة.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نقاط بلا تسميات حين تكون المقارنة الدقيقة مطلوبة في تقرير تنفيذي.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الأعمدة المرتبة أو Cleveland dot plot.</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05   المخطط النقطي (كليفِلاند)</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Cleveland Dot Plot</w:t>
            </w:r>
          </w:p>
        </w:tc>
      </w:tr>
    </w:tbl>
    <w:p>
      <w:pPr>
        <w:spacing w:after="120" w:before="80"/>
        <w:jc w:val="center"/>
        <w:bidi w:val="1"/>
      </w:pPr>
      <w:r>
        <w:drawing>
          <wp:inline xmlns:a="http://schemas.openxmlformats.org/drawingml/2006/main" xmlns:pic="http://schemas.openxmlformats.org/drawingml/2006/picture">
            <wp:extent cx="5976000" cy="3448601"/>
            <wp:docPr id="16" name="Picture 16"/>
            <wp:cNvGraphicFramePr>
              <a:graphicFrameLocks noChangeAspect="1"/>
            </wp:cNvGraphicFramePr>
            <a:graphic>
              <a:graphicData uri="http://schemas.openxmlformats.org/drawingml/2006/picture">
                <pic:pic>
                  <pic:nvPicPr>
                    <pic:cNvPr id="0" name="dot_plot.png"/>
                    <pic:cNvPicPr/>
                  </pic:nvPicPr>
                  <pic:blipFill>
                    <a:blip r:embed="rId28"/>
                    <a:stretch>
                      <a:fillRect/>
                    </a:stretch>
                  </pic:blipFill>
                  <pic:spPr>
                    <a:xfrm>
                      <a:off x="0" y="0"/>
                      <a:ext cx="5976000" cy="3448601"/>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نقاط على محور كمّي مقابل فئات. من أدق الرسوم إدراكياً وفق تجارب Cleveland وMcGill.</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قيم عبر فئات، أو سلسلتين على المقياس نفسه (مدينتان، عامان) دون أعمدة سميكة.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جمهور غير معتاد قد يحتاج ثانيةً للفهم. لا تكدّس أكثر من ثلاث سلاسل.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قيمة أو قيمتان.</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نقاط متطابقة اللون لسلسلتين مختلفتين.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Dumbbell لإبراز التغيّر بين نقطتين.</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06   المخطط الأيقوني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Pictogram / Unit Chart</w:t>
            </w:r>
          </w:p>
        </w:tc>
      </w:tr>
    </w:tbl>
    <w:p>
      <w:pPr>
        <w:spacing w:after="120" w:before="80"/>
        <w:jc w:val="center"/>
        <w:bidi w:val="1"/>
      </w:pPr>
      <w:r>
        <w:drawing>
          <wp:inline xmlns:a="http://schemas.openxmlformats.org/drawingml/2006/main" xmlns:pic="http://schemas.openxmlformats.org/drawingml/2006/picture">
            <wp:extent cx="5976000" cy="3131195"/>
            <wp:docPr id="17" name="Picture 17"/>
            <wp:cNvGraphicFramePr>
              <a:graphicFrameLocks noChangeAspect="1"/>
            </wp:cNvGraphicFramePr>
            <a:graphic>
              <a:graphicData uri="http://schemas.openxmlformats.org/drawingml/2006/picture">
                <pic:pic>
                  <pic:nvPicPr>
                    <pic:cNvPr id="0" name="pictogram.png"/>
                    <pic:cNvPicPr/>
                  </pic:nvPicPr>
                  <pic:blipFill>
                    <a:blip r:embed="rId29"/>
                    <a:stretch>
                      <a:fillRect/>
                    </a:stretch>
                  </pic:blipFill>
                  <pic:spPr>
                    <a:xfrm>
                      <a:off x="0" y="0"/>
                      <a:ext cx="5976000" cy="313119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أيقونات أو دوائر تمثّل وحدات (كل دائرة = 10٪ مثلاً). قوي في التواصل العام.</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جمهور غير تقني، إنفوجرافيك، نسب بسيطة تُروى كقصّة إنسانية (كل أيقونة = شخص).</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للمقارنة الدقيقة أو لأرقام كبيرة بلا مفتاح وحدة واضح. الأيقونات المقطوعة تضلّل.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نسب أو أعداد قابلة للتقريب إلى وحدات.</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تغيير حجم الأيقونة بدل عددها؛ المساحة تُقرأ خطأً.</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Waffle للنسب المئوية، أو شريط بسيط للدقة.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07   المساحات النسبية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Proportional Area Chart</w:t>
            </w:r>
          </w:p>
        </w:tc>
      </w:tr>
    </w:tbl>
    <w:p>
      <w:pPr>
        <w:spacing w:after="120" w:before="80"/>
        <w:jc w:val="center"/>
        <w:bidi w:val="1"/>
      </w:pPr>
      <w:r>
        <w:drawing>
          <wp:inline xmlns:a="http://schemas.openxmlformats.org/drawingml/2006/main" xmlns:pic="http://schemas.openxmlformats.org/drawingml/2006/picture">
            <wp:extent cx="5976000" cy="3157012"/>
            <wp:docPr id="18" name="Picture 18"/>
            <wp:cNvGraphicFramePr>
              <a:graphicFrameLocks noChangeAspect="1"/>
            </wp:cNvGraphicFramePr>
            <a:graphic>
              <a:graphicData uri="http://schemas.openxmlformats.org/drawingml/2006/picture">
                <pic:pic>
                  <pic:nvPicPr>
                    <pic:cNvPr id="0" name="proportional_area.png"/>
                    <pic:cNvPicPr/>
                  </pic:nvPicPr>
                  <pic:blipFill>
                    <a:blip r:embed="rId30"/>
                    <a:stretch>
                      <a:fillRect/>
                    </a:stretch>
                  </pic:blipFill>
                  <pic:spPr>
                    <a:xfrm>
                      <a:off x="0" y="0"/>
                      <a:ext cx="5976000" cy="3157012"/>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أشكال (دوائر/مربعات) تتناسب مساحتها مع القيمة. مفيد للإحساس بالحجم لا للمقارنة الدقيقة.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إبراز فرق ضخم بين قيم قليلة (3–6 كيانات) في ملصق أو افتتاحية.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تقارن قيماً متقاربة؛ العين تضعف في مقارنة المساحات. لا ترمّز القيمة بنصف القطر.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قيم موجبة قليلة.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حساب نصف القطر تناسباً مع القيمة بدل الجذر التربيعي؛ يضخّم الكبر.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أعمدة إذا كانت الدقة أهم من الوقْع البصري.</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08   مخطط الرصاصة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Bullet Graph</w:t>
            </w:r>
          </w:p>
        </w:tc>
      </w:tr>
    </w:tbl>
    <w:p>
      <w:pPr>
        <w:spacing w:after="120" w:before="80"/>
        <w:jc w:val="center"/>
        <w:bidi w:val="1"/>
      </w:pPr>
      <w:r>
        <w:drawing>
          <wp:inline xmlns:a="http://schemas.openxmlformats.org/drawingml/2006/main" xmlns:pic="http://schemas.openxmlformats.org/drawingml/2006/picture">
            <wp:extent cx="5976000" cy="2833026"/>
            <wp:docPr id="19" name="Picture 19"/>
            <wp:cNvGraphicFramePr>
              <a:graphicFrameLocks noChangeAspect="1"/>
            </wp:cNvGraphicFramePr>
            <a:graphic>
              <a:graphicData uri="http://schemas.openxmlformats.org/drawingml/2006/picture">
                <pic:pic>
                  <pic:nvPicPr>
                    <pic:cNvPr id="0" name="bullet.png"/>
                    <pic:cNvPicPr/>
                  </pic:nvPicPr>
                  <pic:blipFill>
                    <a:blip r:embed="rId31"/>
                    <a:stretch>
                      <a:fillRect/>
                    </a:stretch>
                  </pic:blipFill>
                  <pic:spPr>
                    <a:xfrm>
                      <a:off x="0" y="0"/>
                      <a:ext cx="5976000" cy="283302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اختراع Stephen Few: شريط أداء + خلفية نطاقات + علامة هدف. كثيف المعلومات وصغير المساحة.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لوحات مؤشرات KPI: إنجاز مقابل هدف، مع سياق (ضعيف/مقبول/جيّد).</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لسلاسل زمنية أو لمقارنة عشرات المؤشرات دفعة واحدة دون توحيد المقياس.</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قيمة فعلية + هدف + نطاقات اختيارية.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ألوان إشارات مرور بلا داعٍ؛ النطاق الرمادي المتدرّج أوضح وأقل إثارة زائفة.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عمود مع خط هدف إذا كان الجمهور لا يعرف الرصاصة.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09   الأعمدة الدائرية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Radial Bar Chart</w:t>
            </w:r>
          </w:p>
        </w:tc>
      </w:tr>
    </w:tbl>
    <w:p>
      <w:pPr>
        <w:spacing w:after="120" w:before="80"/>
        <w:jc w:val="center"/>
        <w:bidi w:val="1"/>
      </w:pPr>
      <w:r>
        <w:drawing>
          <wp:inline xmlns:a="http://schemas.openxmlformats.org/drawingml/2006/main" xmlns:pic="http://schemas.openxmlformats.org/drawingml/2006/picture">
            <wp:extent cx="5976000" cy="6479905"/>
            <wp:docPr id="20" name="Picture 20"/>
            <wp:cNvGraphicFramePr>
              <a:graphicFrameLocks noChangeAspect="1"/>
            </wp:cNvGraphicFramePr>
            <a:graphic>
              <a:graphicData uri="http://schemas.openxmlformats.org/drawingml/2006/picture">
                <pic:pic>
                  <pic:nvPicPr>
                    <pic:cNvPr id="0" name="radial_bar.png"/>
                    <pic:cNvPicPr/>
                  </pic:nvPicPr>
                  <pic:blipFill>
                    <a:blip r:embed="rId32"/>
                    <a:stretch>
                      <a:fillRect/>
                    </a:stretch>
                  </pic:blipFill>
                  <pic:spPr>
                    <a:xfrm>
                      <a:off x="0" y="0"/>
                      <a:ext cx="5976000" cy="647990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أعمدة على إحداثيات قطبية. جذّاب بصرياً لكنه أضعف إدراكياً من الأعمدة المستقيمة.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لوحة فنية أو ملصق بعدد فئات قليل، حين تريد لفت النظر لا التحليل الدقيق.</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تجنّبه في التقارير التحليلية: الأقواس الداخلية تبدو أقصر حتى لو تساوت القيم. لا تستخدمه للمقارنة الجدّية.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قليلة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إخفاء أن الأشرطة لا تبدأ من مركز واحد أو أن الحلقات بمقاييس مختلفة.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عمود أو لولي بوب دائماً أدق.</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21" name="Picture 21"/>
            <wp:cNvGraphicFramePr>
              <a:graphicFrameLocks noChangeAspect="1"/>
            </wp:cNvGraphicFramePr>
            <a:graphic>
              <a:graphicData uri="http://schemas.openxmlformats.org/drawingml/2006/picture">
                <pic:pic>
                  <pic:nvPicPr>
                    <pic:cNvPr id="0" name="d_ranking.png"/>
                    <pic:cNvPicPr/>
                  </pic:nvPicPr>
                  <pic:blipFill>
                    <a:blip r:embed="rId33"/>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10   الأعمدة المرتبة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Ordered Bar</w:t>
            </w:r>
          </w:p>
        </w:tc>
      </w:tr>
    </w:tbl>
    <w:p>
      <w:pPr>
        <w:spacing w:after="120" w:before="80"/>
        <w:jc w:val="center"/>
        <w:bidi w:val="1"/>
      </w:pPr>
      <w:r>
        <w:drawing>
          <wp:inline xmlns:a="http://schemas.openxmlformats.org/drawingml/2006/main" xmlns:pic="http://schemas.openxmlformats.org/drawingml/2006/picture">
            <wp:extent cx="5976000" cy="3438408"/>
            <wp:docPr id="22" name="Picture 22"/>
            <wp:cNvGraphicFramePr>
              <a:graphicFrameLocks noChangeAspect="1"/>
            </wp:cNvGraphicFramePr>
            <a:graphic>
              <a:graphicData uri="http://schemas.openxmlformats.org/drawingml/2006/picture">
                <pic:pic>
                  <pic:nvPicPr>
                    <pic:cNvPr id="0" name="ordered_bar.png"/>
                    <pic:cNvPicPr/>
                  </pic:nvPicPr>
                  <pic:blipFill>
                    <a:blip r:embed="rId34"/>
                    <a:stretch>
                      <a:fillRect/>
                    </a:stretch>
                  </pic:blipFill>
                  <pic:spPr>
                    <a:xfrm>
                      <a:off x="0" y="0"/>
                      <a:ext cx="5976000" cy="3438408"/>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شريط أفقي مرتّب تنازلياً أو تصاعدياً. يجعل الترتيب هو الرسالة.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جداول الدوري، أداء فرق، أغنى الدول، أسوأ الاختناقات. رتّب ما لم يكن للفئات ترتيب طبيعي.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ترتّب فئات زمنية أو عمرية حسب القيمة إن كان التسلسل نفسه هو المعنى.</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قيمة، بعد الفرز.</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قطع المحور أو تلوين كل شريط بلون مختلف بلا معنى.</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Lollipop للشكل الأخف.</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11   مخطط الميل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Slope Chart</w:t>
            </w:r>
          </w:p>
        </w:tc>
      </w:tr>
    </w:tbl>
    <w:p>
      <w:pPr>
        <w:spacing w:after="120" w:before="80"/>
        <w:jc w:val="center"/>
        <w:bidi w:val="1"/>
      </w:pPr>
      <w:r>
        <w:drawing>
          <wp:inline xmlns:a="http://schemas.openxmlformats.org/drawingml/2006/main" xmlns:pic="http://schemas.openxmlformats.org/drawingml/2006/picture">
            <wp:extent cx="5976000" cy="3558813"/>
            <wp:docPr id="23" name="Picture 23"/>
            <wp:cNvGraphicFramePr>
              <a:graphicFrameLocks noChangeAspect="1"/>
            </wp:cNvGraphicFramePr>
            <a:graphic>
              <a:graphicData uri="http://schemas.openxmlformats.org/drawingml/2006/picture">
                <pic:pic>
                  <pic:nvPicPr>
                    <pic:cNvPr id="0" name="slope.png"/>
                    <pic:cNvPicPr/>
                  </pic:nvPicPr>
                  <pic:blipFill>
                    <a:blip r:embed="rId35"/>
                    <a:stretch>
                      <a:fillRect/>
                    </a:stretch>
                  </pic:blipFill>
                  <pic:spPr>
                    <a:xfrm>
                      <a:off x="0" y="0"/>
                      <a:ext cx="5976000" cy="3558813"/>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خط يربط قيمة كل فئة بين نقطتين زمنيتين. يكشف الصعود والهبوط دفعة واحدة.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قبل/بعد، سنتان، سياستان. مثالي حين عدد الكيانات 5–12 وتهمّك تغيّرات الرتبة والقيمة.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أكثر من نقطتين زمنيتين؟ استخدم Bump أو خطاً متعدداً. الازدحام يقتل الرسم.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كيانات × نقطتا زمن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خطوط متقاطعة بلا تسميات مباشرة على الأطراف.</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Dumbbell إذا أردت التركيز على الفجوة لا على الميل.</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12   مخطط الرتب عبر الزمن</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Bump Chart</w:t>
            </w:r>
          </w:p>
        </w:tc>
      </w:tr>
    </w:tbl>
    <w:p>
      <w:pPr>
        <w:spacing w:after="120" w:before="80"/>
        <w:jc w:val="center"/>
        <w:bidi w:val="1"/>
      </w:pPr>
      <w:r>
        <w:drawing>
          <wp:inline xmlns:a="http://schemas.openxmlformats.org/drawingml/2006/main" xmlns:pic="http://schemas.openxmlformats.org/drawingml/2006/picture">
            <wp:extent cx="5976000" cy="3399193"/>
            <wp:docPr id="24" name="Picture 24"/>
            <wp:cNvGraphicFramePr>
              <a:graphicFrameLocks noChangeAspect="1"/>
            </wp:cNvGraphicFramePr>
            <a:graphic>
              <a:graphicData uri="http://schemas.openxmlformats.org/drawingml/2006/picture">
                <pic:pic>
                  <pic:nvPicPr>
                    <pic:cNvPr id="0" name="bump.png"/>
                    <pic:cNvPicPr/>
                  </pic:nvPicPr>
                  <pic:blipFill>
                    <a:blip r:embed="rId36"/>
                    <a:stretch>
                      <a:fillRect/>
                    </a:stretch>
                  </pic:blipFill>
                  <pic:spPr>
                    <a:xfrm>
                      <a:off x="0" y="0"/>
                      <a:ext cx="5976000" cy="3399193"/>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يتتبع رتبة كل كيان عبر فترات. المحور هو الترتيب لا القيمة المطلقة.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سباقات: علامات تجارية، أندية، دول في مؤشر سنوي. القصة: من تقدّم ومن تراجع.</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إذا كانت القيمة المطلقة أهم من الرتبة (فجوة 1٪ و30٪ تبدوان حركتين متساويتين).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كيانات × زمن × رتبة (أو قيمة تُحوَّل لرتبة).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عدد كيانات كبير جداً بلا إبراز للبطلين.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Slope لنقطتين فقط، أو خط للقيمة المطلقة.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13   مخطط الدمبل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Dumbbell Chart</w:t>
            </w:r>
          </w:p>
        </w:tc>
      </w:tr>
    </w:tbl>
    <w:p>
      <w:pPr>
        <w:spacing w:after="120" w:before="80"/>
        <w:jc w:val="center"/>
        <w:bidi w:val="1"/>
      </w:pPr>
      <w:r>
        <w:drawing>
          <wp:inline xmlns:a="http://schemas.openxmlformats.org/drawingml/2006/main" xmlns:pic="http://schemas.openxmlformats.org/drawingml/2006/picture">
            <wp:extent cx="5976000" cy="3431646"/>
            <wp:docPr id="25" name="Picture 25"/>
            <wp:cNvGraphicFramePr>
              <a:graphicFrameLocks noChangeAspect="1"/>
            </wp:cNvGraphicFramePr>
            <a:graphic>
              <a:graphicData uri="http://schemas.openxmlformats.org/drawingml/2006/picture">
                <pic:pic>
                  <pic:nvPicPr>
                    <pic:cNvPr id="0" name="dumbbell.png"/>
                    <pic:cNvPicPr/>
                  </pic:nvPicPr>
                  <pic:blipFill>
                    <a:blip r:embed="rId37"/>
                    <a:stretch>
                      <a:fillRect/>
                    </a:stretch>
                  </pic:blipFill>
                  <pic:spPr>
                    <a:xfrm>
                      <a:off x="0" y="0"/>
                      <a:ext cx="5976000" cy="343164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نقطتان مرتبطتان بخط لكل فئة: فجوة بين عامين أو مجموعتين.</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فجوة الأجور، التغيّر بين مسحين، مقارنة هدف مقابل واقع عبر مناطق.</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أكثر من نقطتين لكل فئة يتحوّل إلى فوضى. لا تستخدمه للتوزيع الكامل.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قيمتان.</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عدم تمييز لوني واضح لأي نقطة تمثّل «قبل» وأيها «بعد».</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Slope إذا أردت إظهار الاتجاه أكثر من الفجوة.</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26" name="Picture 26"/>
            <wp:cNvGraphicFramePr>
              <a:graphicFrameLocks noChangeAspect="1"/>
            </wp:cNvGraphicFramePr>
            <a:graphic>
              <a:graphicData uri="http://schemas.openxmlformats.org/drawingml/2006/picture">
                <pic:pic>
                  <pic:nvPicPr>
                    <pic:cNvPr id="0" name="d_deviation.png"/>
                    <pic:cNvPicPr/>
                  </pic:nvPicPr>
                  <pic:blipFill>
                    <a:blip r:embed="rId38"/>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14   الأعمدة المتباعدة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Diverging Bar</w:t>
            </w:r>
          </w:p>
        </w:tc>
      </w:tr>
    </w:tbl>
    <w:p>
      <w:pPr>
        <w:spacing w:after="120" w:before="80"/>
        <w:jc w:val="center"/>
        <w:bidi w:val="1"/>
      </w:pPr>
      <w:r>
        <w:drawing>
          <wp:inline xmlns:a="http://schemas.openxmlformats.org/drawingml/2006/main" xmlns:pic="http://schemas.openxmlformats.org/drawingml/2006/picture">
            <wp:extent cx="5976000" cy="3368710"/>
            <wp:docPr id="27" name="Picture 27"/>
            <wp:cNvGraphicFramePr>
              <a:graphicFrameLocks noChangeAspect="1"/>
            </wp:cNvGraphicFramePr>
            <a:graphic>
              <a:graphicData uri="http://schemas.openxmlformats.org/drawingml/2006/picture">
                <pic:pic>
                  <pic:nvPicPr>
                    <pic:cNvPr id="0" name="diverging_bar.png"/>
                    <pic:cNvPicPr/>
                  </pic:nvPicPr>
                  <pic:blipFill>
                    <a:blip r:embed="rId39"/>
                    <a:stretch>
                      <a:fillRect/>
                    </a:stretch>
                  </pic:blipFill>
                  <pic:spPr>
                    <a:xfrm>
                      <a:off x="0" y="0"/>
                      <a:ext cx="5976000" cy="336871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أشرطة تمتد يميناً ويساراً من مرجع (صفر أو هدف). اللون يفصل الزيادة عن النقص.</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فائض/عجز، تغيّر عن متوسط، مواقف إيجابية/سلبية في استبيان.</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إذا كانت كل القيم موجبة؛ المرجع المفتعل يضلّل.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قيمة بإشارة (+/−).</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مقياسان غير متماثلين على الجانبين.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Butterfly لمقارنة مجموعتين متعاكستين (ذكور/إناث).</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15   مخطط الفراشة / العمود الفقري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Butterfly / Spine Chart</w:t>
            </w:r>
          </w:p>
        </w:tc>
      </w:tr>
    </w:tbl>
    <w:p>
      <w:pPr>
        <w:spacing w:after="120" w:before="80"/>
        <w:jc w:val="center"/>
        <w:bidi w:val="1"/>
      </w:pPr>
      <w:r>
        <w:drawing>
          <wp:inline xmlns:a="http://schemas.openxmlformats.org/drawingml/2006/main" xmlns:pic="http://schemas.openxmlformats.org/drawingml/2006/picture">
            <wp:extent cx="5976000" cy="3496978"/>
            <wp:docPr id="28" name="Picture 28"/>
            <wp:cNvGraphicFramePr>
              <a:graphicFrameLocks noChangeAspect="1"/>
            </wp:cNvGraphicFramePr>
            <a:graphic>
              <a:graphicData uri="http://schemas.openxmlformats.org/drawingml/2006/picture">
                <pic:pic>
                  <pic:nvPicPr>
                    <pic:cNvPr id="0" name="butterfly.png"/>
                    <pic:cNvPicPr/>
                  </pic:nvPicPr>
                  <pic:blipFill>
                    <a:blip r:embed="rId40"/>
                    <a:stretch>
                      <a:fillRect/>
                    </a:stretch>
                  </pic:blipFill>
                  <pic:spPr>
                    <a:xfrm>
                      <a:off x="0" y="0"/>
                      <a:ext cx="5976000" cy="3496978"/>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شريطان متعاكسان حول محور وسط، غالباً لمقارنة مجموعتين على الفئات نفسها.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الهرم السكّاني المختصر، مقارنة آراء رجال/نساء، موازنة بنود.</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صعب إذا اختلف مقياس الجانبين. لا تستخدمه لأكثر من مجموعتين.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فئة مشتركة + قيمتان متعاكستان.</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نسيان عكس أحد المحورين أو تسمية الاتجاهين.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هرم سكّاني للتوزيع العمري الكامل.</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16   فائض وعجز مساحي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Surplus–Deficit Fill</w:t>
            </w:r>
          </w:p>
        </w:tc>
      </w:tr>
    </w:tbl>
    <w:p>
      <w:pPr>
        <w:spacing w:after="120" w:before="80"/>
        <w:jc w:val="center"/>
        <w:bidi w:val="1"/>
      </w:pPr>
      <w:r>
        <w:drawing>
          <wp:inline xmlns:a="http://schemas.openxmlformats.org/drawingml/2006/main" xmlns:pic="http://schemas.openxmlformats.org/drawingml/2006/picture">
            <wp:extent cx="5976000" cy="3351365"/>
            <wp:docPr id="29" name="Picture 29"/>
            <wp:cNvGraphicFramePr>
              <a:graphicFrameLocks noChangeAspect="1"/>
            </wp:cNvGraphicFramePr>
            <a:graphic>
              <a:graphicData uri="http://schemas.openxmlformats.org/drawingml/2006/picture">
                <pic:pic>
                  <pic:nvPicPr>
                    <pic:cNvPr id="0" name="surplus_deficit.png"/>
                    <pic:cNvPicPr/>
                  </pic:nvPicPr>
                  <pic:blipFill>
                    <a:blip r:embed="rId41"/>
                    <a:stretch>
                      <a:fillRect/>
                    </a:stretch>
                  </pic:blipFill>
                  <pic:spPr>
                    <a:xfrm>
                      <a:off x="0" y="0"/>
                      <a:ext cx="5976000" cy="335136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مساحة فوق/تحت خط الصفر بلونين. يروي قصة الانقلاب عبر الزمن بوضوح درامي.</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ميزان تجاري، ميزانية، درجة حرارة عن متوسط مناخي.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لعدة سلاسل متداخلة؛ اللون يفقد معناه.</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سلسلة زمنية بإشارة.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ملء بدون خط الصفر الظاهر.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أعمدة متباعدة للسنوات القليلة.</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30" name="Picture 30"/>
            <wp:cNvGraphicFramePr>
              <a:graphicFrameLocks noChangeAspect="1"/>
            </wp:cNvGraphicFramePr>
            <a:graphic>
              <a:graphicData uri="http://schemas.openxmlformats.org/drawingml/2006/picture">
                <pic:pic>
                  <pic:nvPicPr>
                    <pic:cNvPr id="0" name="d_distribution.png"/>
                    <pic:cNvPicPr/>
                  </pic:nvPicPr>
                  <pic:blipFill>
                    <a:blip r:embed="rId42"/>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17   المدرج التكراري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Histogram</w:t>
            </w:r>
          </w:p>
        </w:tc>
      </w:tr>
    </w:tbl>
    <w:p>
      <w:pPr>
        <w:spacing w:after="120" w:before="80"/>
        <w:jc w:val="center"/>
        <w:bidi w:val="1"/>
      </w:pPr>
      <w:r>
        <w:drawing>
          <wp:inline xmlns:a="http://schemas.openxmlformats.org/drawingml/2006/main" xmlns:pic="http://schemas.openxmlformats.org/drawingml/2006/picture">
            <wp:extent cx="5976000" cy="3472621"/>
            <wp:docPr id="31" name="Picture 31"/>
            <wp:cNvGraphicFramePr>
              <a:graphicFrameLocks noChangeAspect="1"/>
            </wp:cNvGraphicFramePr>
            <a:graphic>
              <a:graphicData uri="http://schemas.openxmlformats.org/drawingml/2006/picture">
                <pic:pic>
                  <pic:nvPicPr>
                    <pic:cNvPr id="0" name="histogram.png"/>
                    <pic:cNvPicPr/>
                  </pic:nvPicPr>
                  <pic:blipFill>
                    <a:blip r:embed="rId43"/>
                    <a:stretch>
                      <a:fillRect/>
                    </a:stretch>
                  </pic:blipFill>
                  <pic:spPr>
                    <a:xfrm>
                      <a:off x="0" y="0"/>
                      <a:ext cx="5976000" cy="3472621"/>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صناديق (bins) تعرض تكرار القيم المتصلة. يكشف الشكل: تفرّط، التواء، ذروتان.</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فهم توزيع متغير واحد: درجات، أعمار، أزمنة استجابة. أول رسم إحصائي تقريباً.</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لبيانات فئوية (ذلك عمود). احذر عدد الصناديق: قليل يخفي، كثير يُضجّج.</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 كمّي متصل، عيّنة كافية.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صناديق بعروض مختلفة دون تبرير، أو مقارنة مجموعات بمدرج واحد بلا تمييز.</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Density للنعومة، Box للمقارنة السريعة بين مجموعات.</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18   منحنى الكثافة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Density Plot</w:t>
            </w:r>
          </w:p>
        </w:tc>
      </w:tr>
    </w:tbl>
    <w:p>
      <w:pPr>
        <w:spacing w:after="120" w:before="80"/>
        <w:jc w:val="center"/>
        <w:bidi w:val="1"/>
      </w:pPr>
      <w:r>
        <w:drawing>
          <wp:inline xmlns:a="http://schemas.openxmlformats.org/drawingml/2006/main" xmlns:pic="http://schemas.openxmlformats.org/drawingml/2006/picture">
            <wp:extent cx="5976000" cy="3462286"/>
            <wp:docPr id="32" name="Picture 32"/>
            <wp:cNvGraphicFramePr>
              <a:graphicFrameLocks noChangeAspect="1"/>
            </wp:cNvGraphicFramePr>
            <a:graphic>
              <a:graphicData uri="http://schemas.openxmlformats.org/drawingml/2006/picture">
                <pic:pic>
                  <pic:nvPicPr>
                    <pic:cNvPr id="0" name="density.png"/>
                    <pic:cNvPicPr/>
                  </pic:nvPicPr>
                  <pic:blipFill>
                    <a:blip r:embed="rId44"/>
                    <a:stretch>
                      <a:fillRect/>
                    </a:stretch>
                  </pic:blipFill>
                  <pic:spPr>
                    <a:xfrm>
                      <a:off x="0" y="0"/>
                      <a:ext cx="5976000" cy="346228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تقدير أملس لتوزيع الاحتمال. أفضل من المدرج لمقارنة مجموعتين أو ثلاث.</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شكل التوزيع بين شرائح، واكتشاف الذرى المتعددة.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عيّنات صغيرة جداً تجعل التمهيد خادعاً. لا تُظهر العدد الخام.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 متصل، يفضَّل n كبير.</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عرض منحنيات متداخلة كثيرة بلا شفافية.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Ridgeline لعدة مجموعات، أو Violin للشكل + الملخص.</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19   المخطط الصندوقي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Box Plot</w:t>
            </w:r>
          </w:p>
        </w:tc>
      </w:tr>
    </w:tbl>
    <w:p>
      <w:pPr>
        <w:spacing w:after="120" w:before="80"/>
        <w:jc w:val="center"/>
        <w:bidi w:val="1"/>
      </w:pPr>
      <w:r>
        <w:drawing>
          <wp:inline xmlns:a="http://schemas.openxmlformats.org/drawingml/2006/main" xmlns:pic="http://schemas.openxmlformats.org/drawingml/2006/picture">
            <wp:extent cx="5976000" cy="3361500"/>
            <wp:docPr id="33" name="Picture 33"/>
            <wp:cNvGraphicFramePr>
              <a:graphicFrameLocks noChangeAspect="1"/>
            </wp:cNvGraphicFramePr>
            <a:graphic>
              <a:graphicData uri="http://schemas.openxmlformats.org/drawingml/2006/picture">
                <pic:pic>
                  <pic:nvPicPr>
                    <pic:cNvPr id="0" name="boxplot.png"/>
                    <pic:cNvPicPr/>
                  </pic:nvPicPr>
                  <pic:blipFill>
                    <a:blip r:embed="rId45"/>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خمسة أرقام في نظرة: أدنى، ربيع أول، وسيط، ربيع ثالث، أعلى + شواذ. Compact جداً.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تشتت عدة مجموعات، اكتشاف القيم الشاذة، تقارير جودة.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يخفي تعدّد الذرى. جمهور غير إحصائي قد لا يفهم الصندوق.</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 كمّي لكل فئة، ويفضَّل n&gt;20 تقريباً.</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إخفاء الشواذ أو رسم صندوق لعيّنة من 4 نقاط.</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Violin أو Beeswarm لإظهار الشكل أو النقاط الخام.</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20   الكمان</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Violin Plot</w:t>
            </w:r>
          </w:p>
        </w:tc>
      </w:tr>
    </w:tbl>
    <w:p>
      <w:pPr>
        <w:spacing w:after="120" w:before="80"/>
        <w:jc w:val="center"/>
        <w:bidi w:val="1"/>
      </w:pPr>
      <w:r>
        <w:drawing>
          <wp:inline xmlns:a="http://schemas.openxmlformats.org/drawingml/2006/main" xmlns:pic="http://schemas.openxmlformats.org/drawingml/2006/picture">
            <wp:extent cx="5976000" cy="3361500"/>
            <wp:docPr id="34" name="Picture 34"/>
            <wp:cNvGraphicFramePr>
              <a:graphicFrameLocks noChangeAspect="1"/>
            </wp:cNvGraphicFramePr>
            <a:graphic>
              <a:graphicData uri="http://schemas.openxmlformats.org/drawingml/2006/picture">
                <pic:pic>
                  <pic:nvPicPr>
                    <pic:cNvPr id="0" name="violin.png"/>
                    <pic:cNvPicPr/>
                  </pic:nvPicPr>
                  <pic:blipFill>
                    <a:blip r:embed="rId46"/>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كثافة معكوسة حول المحور + وسيط. يجمع جمال الكثافة وملخص الصندوق.</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توزيعات معقّدة بين 3–8 مجموعات في ورقة علمية أو تحليل منتج.</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عيّنات صغيرة تنتج كمانات مضلّلة. قد يُقرأ كـ«عرض = أهمية».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كمّي × فئة.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عدم إظهار الوسيط داخل الكمان.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Box + jitter للجمهور الأوسع.</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21   سرب النحل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Beeswarm</w:t>
            </w:r>
          </w:p>
        </w:tc>
      </w:tr>
    </w:tbl>
    <w:p>
      <w:pPr>
        <w:spacing w:after="120" w:before="80"/>
        <w:jc w:val="center"/>
        <w:bidi w:val="1"/>
      </w:pPr>
      <w:r>
        <w:drawing>
          <wp:inline xmlns:a="http://schemas.openxmlformats.org/drawingml/2006/main" xmlns:pic="http://schemas.openxmlformats.org/drawingml/2006/picture">
            <wp:extent cx="5976000" cy="3361500"/>
            <wp:docPr id="35" name="Picture 35"/>
            <wp:cNvGraphicFramePr>
              <a:graphicFrameLocks noChangeAspect="1"/>
            </wp:cNvGraphicFramePr>
            <a:graphic>
              <a:graphicData uri="http://schemas.openxmlformats.org/drawingml/2006/picture">
                <pic:pic>
                  <pic:nvPicPr>
                    <pic:cNvPr id="0" name="beeswarm.png"/>
                    <pic:cNvPicPr/>
                  </pic:nvPicPr>
                  <pic:blipFill>
                    <a:blip r:embed="rId47"/>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كل نقطة فرد تظهر دون تراكب كامل. التوزيع والنقاط معاً.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عيّنات صغيرة إلى متوسطة حين تهمّك كل ملاحظة (تجارب، مرضى، متاجر).</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آلاف النقاط تصبح بقعة. لا تستخدمه للملخص التنفيذي السريع.</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ملاحظات فردية × فئة.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نقاط متراكبة بلا jitter تُخفي الكثافة.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Strip أبسط، Violin لأعداد كبيرة.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22   خطوط التلال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Ridgeline / Joyplot</w:t>
            </w:r>
          </w:p>
        </w:tc>
      </w:tr>
    </w:tbl>
    <w:p>
      <w:pPr>
        <w:spacing w:after="120" w:before="80"/>
        <w:jc w:val="center"/>
        <w:bidi w:val="1"/>
      </w:pPr>
      <w:r>
        <w:drawing>
          <wp:inline xmlns:a="http://schemas.openxmlformats.org/drawingml/2006/main" xmlns:pic="http://schemas.openxmlformats.org/drawingml/2006/picture">
            <wp:extent cx="5976000" cy="4181975"/>
            <wp:docPr id="36" name="Picture 36"/>
            <wp:cNvGraphicFramePr>
              <a:graphicFrameLocks noChangeAspect="1"/>
            </wp:cNvGraphicFramePr>
            <a:graphic>
              <a:graphicData uri="http://schemas.openxmlformats.org/drawingml/2006/picture">
                <pic:pic>
                  <pic:nvPicPr>
                    <pic:cNvPr id="0" name="ridgeline.png"/>
                    <pic:cNvPicPr/>
                  </pic:nvPicPr>
                  <pic:blipFill>
                    <a:blip r:embed="rId48"/>
                    <a:stretch>
                      <a:fillRect/>
                    </a:stretch>
                  </pic:blipFill>
                  <pic:spPr>
                    <a:xfrm>
                      <a:off x="0" y="0"/>
                      <a:ext cx="5976000" cy="418197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سلسلة كثافات متراكبة رأسياً. جميل لموسمية أو لتطوّر توزيع عبر الزمن.</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توزيع درجات حرارة أشهر، أطوال كلمات عبر عقود، أعمار عبر سنوات.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المبالغة في التداخل تخفي الذيول. لا تستخدمه لمقارنة دقيقة للوسيط.</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كمّي × فئات كثيرة مرتّبة.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مقاييس كثافة غير موحّدة بين الصفوف.</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Heatmap تقويمي للزمن اليومي.</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23   الشريط النقطي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Strip / Jitter Plot</w:t>
            </w:r>
          </w:p>
        </w:tc>
      </w:tr>
    </w:tbl>
    <w:p>
      <w:pPr>
        <w:spacing w:after="120" w:before="80"/>
        <w:jc w:val="center"/>
        <w:bidi w:val="1"/>
      </w:pPr>
      <w:r>
        <w:drawing>
          <wp:inline xmlns:a="http://schemas.openxmlformats.org/drawingml/2006/main" xmlns:pic="http://schemas.openxmlformats.org/drawingml/2006/picture">
            <wp:extent cx="5976000" cy="3511050"/>
            <wp:docPr id="37" name="Picture 37"/>
            <wp:cNvGraphicFramePr>
              <a:graphicFrameLocks noChangeAspect="1"/>
            </wp:cNvGraphicFramePr>
            <a:graphic>
              <a:graphicData uri="http://schemas.openxmlformats.org/drawingml/2006/picture">
                <pic:pic>
                  <pic:nvPicPr>
                    <pic:cNvPr id="0" name="strip.png"/>
                    <pic:cNvPicPr/>
                  </pic:nvPicPr>
                  <pic:blipFill>
                    <a:blip r:embed="rId49"/>
                    <a:stretch>
                      <a:fillRect/>
                    </a:stretch>
                  </pic:blipFill>
                  <pic:spPr>
                    <a:xfrm>
                      <a:off x="0" y="0"/>
                      <a:ext cx="5976000" cy="351105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نقاط على خط لكل مجموعة. أبسط طريقة لإظهار البيانات الخام.</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عيّنات صغيرة، ملاحق علمية، أو طبقة فوق صندوق.</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التراكب يخفي التكرار. أضف jitter أو استخدم beeswarm.</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ملاحظات فردية.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نقاط كبيرة جداً تغطّي بعضها.</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Beeswarm أو Box.</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24   مخطط كمي-كمّي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Q–Q Plot</w:t>
            </w:r>
          </w:p>
        </w:tc>
      </w:tr>
    </w:tbl>
    <w:p>
      <w:pPr>
        <w:spacing w:after="120" w:before="80"/>
        <w:jc w:val="center"/>
        <w:bidi w:val="1"/>
      </w:pPr>
      <w:r>
        <w:drawing>
          <wp:inline xmlns:a="http://schemas.openxmlformats.org/drawingml/2006/main" xmlns:pic="http://schemas.openxmlformats.org/drawingml/2006/picture">
            <wp:extent cx="5976000" cy="3507522"/>
            <wp:docPr id="38" name="Picture 38"/>
            <wp:cNvGraphicFramePr>
              <a:graphicFrameLocks noChangeAspect="1"/>
            </wp:cNvGraphicFramePr>
            <a:graphic>
              <a:graphicData uri="http://schemas.openxmlformats.org/drawingml/2006/picture">
                <pic:pic>
                  <pic:nvPicPr>
                    <pic:cNvPr id="0" name="qq.png"/>
                    <pic:cNvPicPr/>
                  </pic:nvPicPr>
                  <pic:blipFill>
                    <a:blip r:embed="rId50"/>
                    <a:stretch>
                      <a:fillRect/>
                    </a:stretch>
                  </pic:blipFill>
                  <pic:spPr>
                    <a:xfrm>
                      <a:off x="0" y="0"/>
                      <a:ext cx="5976000" cy="3507522"/>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يقارن كميات العيّنة بكميات توزيع نظري (غالباً الطبيعي). أداة تشخيص لا عرض جماهيري.</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فحص افتراض الطبيعية قبل اختبار، أو مقارنة توزيعين.</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تضعه في عرض تنفيذي. يحتاج تدريباً لقراءته.</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عيّنة كمّية.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تفسير أي انحراف بسيط ككارثة؛ العيّنات الصغيرة تنحرف دائماً في الذيول.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Histogram + منحنى نظري للجمهور الأوسع.</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25   التوزيع التراكمي التجريبي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ECDF</w:t>
            </w:r>
          </w:p>
        </w:tc>
      </w:tr>
    </w:tbl>
    <w:p>
      <w:pPr>
        <w:spacing w:after="120" w:before="80"/>
        <w:jc w:val="center"/>
        <w:bidi w:val="1"/>
      </w:pPr>
      <w:r>
        <w:drawing>
          <wp:inline xmlns:a="http://schemas.openxmlformats.org/drawingml/2006/main" xmlns:pic="http://schemas.openxmlformats.org/drawingml/2006/picture">
            <wp:extent cx="5976000" cy="3500485"/>
            <wp:docPr id="39" name="Picture 39"/>
            <wp:cNvGraphicFramePr>
              <a:graphicFrameLocks noChangeAspect="1"/>
            </wp:cNvGraphicFramePr>
            <a:graphic>
              <a:graphicData uri="http://schemas.openxmlformats.org/drawingml/2006/picture">
                <pic:pic>
                  <pic:nvPicPr>
                    <pic:cNvPr id="0" name="ecdf.png"/>
                    <pic:cNvPicPr/>
                  </pic:nvPicPr>
                  <pic:blipFill>
                    <a:blip r:embed="rId51"/>
                    <a:stretch>
                      <a:fillRect/>
                    </a:stretch>
                  </pic:blipFill>
                  <pic:spPr>
                    <a:xfrm>
                      <a:off x="0" y="0"/>
                      <a:ext cx="5976000" cy="350048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نسبة الملاحظات تحت كل قيمة. يسمح بقراءة «كم بالمئة أقل من X» مباشرة.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مجموعتين بدقة، اتفاقيات مستوى خدمة (SLA)، عدم المساواة.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أقل حدساً من المدرج للمبتدئ. لا يُظهر التعدّد الذروي بوضوح المدرج.</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 كمّي.</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محور سيني مقطوع يخفي الذيل.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Lorenz لعدم المساواة، Histogram للشكل.</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26   الهرم السكّاني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Population Pyramid</w:t>
            </w:r>
          </w:p>
        </w:tc>
      </w:tr>
    </w:tbl>
    <w:p>
      <w:pPr>
        <w:spacing w:after="120" w:before="80"/>
        <w:jc w:val="center"/>
        <w:bidi w:val="1"/>
      </w:pPr>
      <w:r>
        <w:drawing>
          <wp:inline xmlns:a="http://schemas.openxmlformats.org/drawingml/2006/main" xmlns:pic="http://schemas.openxmlformats.org/drawingml/2006/picture">
            <wp:extent cx="5976000" cy="3535951"/>
            <wp:docPr id="40" name="Picture 40"/>
            <wp:cNvGraphicFramePr>
              <a:graphicFrameLocks noChangeAspect="1"/>
            </wp:cNvGraphicFramePr>
            <a:graphic>
              <a:graphicData uri="http://schemas.openxmlformats.org/drawingml/2006/picture">
                <pic:pic>
                  <pic:nvPicPr>
                    <pic:cNvPr id="0" name="population_pyramid.png"/>
                    <pic:cNvPicPr/>
                  </pic:nvPicPr>
                  <pic:blipFill>
                    <a:blip r:embed="rId52"/>
                    <a:stretch>
                      <a:fillRect/>
                    </a:stretch>
                  </pic:blipFill>
                  <pic:spPr>
                    <a:xfrm>
                      <a:off x="0" y="0"/>
                      <a:ext cx="5976000" cy="3535951"/>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مدرجان متعاكسان للعمر حسب الجنس. توقيع ديموغرافي للدولة أو المدينة.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بنية عمرية، تخطيط خدمات، أثر الحروب أو الهجرة على أفواج عمرية.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يستخدم لمقارنة أكثر من مجتمعين إلا بشبكة أهرام.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عمر × جنس × عدد أو نسبة.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استخدام أعداد مطلقة لمقارنة دول مختلفة الحجم دون توحيد.</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Butterfly لأي مجموعتين غير العمر.</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41" name="Picture 41"/>
            <wp:cNvGraphicFramePr>
              <a:graphicFrameLocks noChangeAspect="1"/>
            </wp:cNvGraphicFramePr>
            <a:graphic>
              <a:graphicData uri="http://schemas.openxmlformats.org/drawingml/2006/picture">
                <pic:pic>
                  <pic:nvPicPr>
                    <pic:cNvPr id="0" name="d_correlation.png"/>
                    <pic:cNvPicPr/>
                  </pic:nvPicPr>
                  <pic:blipFill>
                    <a:blip r:embed="rId53"/>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27   مخطط الانتشار</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Scatterplot</w:t>
            </w:r>
          </w:p>
        </w:tc>
      </w:tr>
    </w:tbl>
    <w:p>
      <w:pPr>
        <w:spacing w:after="120" w:before="80"/>
        <w:jc w:val="center"/>
        <w:bidi w:val="1"/>
      </w:pPr>
      <w:r>
        <w:drawing>
          <wp:inline xmlns:a="http://schemas.openxmlformats.org/drawingml/2006/main" xmlns:pic="http://schemas.openxmlformats.org/drawingml/2006/picture">
            <wp:extent cx="5976000" cy="3518129"/>
            <wp:docPr id="42" name="Picture 42"/>
            <wp:cNvGraphicFramePr>
              <a:graphicFrameLocks noChangeAspect="1"/>
            </wp:cNvGraphicFramePr>
            <a:graphic>
              <a:graphicData uri="http://schemas.openxmlformats.org/drawingml/2006/picture">
                <pic:pic>
                  <pic:nvPicPr>
                    <pic:cNvPr id="0" name="scatter.png"/>
                    <pic:cNvPicPr/>
                  </pic:nvPicPr>
                  <pic:blipFill>
                    <a:blip r:embed="rId54"/>
                    <a:stretch>
                      <a:fillRect/>
                    </a:stretch>
                  </pic:blipFill>
                  <pic:spPr>
                    <a:xfrm>
                      <a:off x="0" y="0"/>
                      <a:ext cx="5976000" cy="3518129"/>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كل نقطة = ملاحظة على محورين كمّيين. الملك لكشف العلاقة والعناقيد والشواذ.</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هل الإعلان يزيد التحويل؟ هل الدخل يرتبط بالعمر المتوقّع؟ أي نقطة شاذة؟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آلاف النقاط تتحوّل إلى حبر أسود (overplotting). لا تستنتج سببية من الارتباط.</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متغيّران كمّيان، ويفضَّل ملاحظات مستقلة.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خط انحدار بلا فحص الشواذ، أو محور لوغاريتمي غير معلن.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Hexbin أو كثافة ثنائية للأعداد الكبيرة، Bubble لبعد ثالث.</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28   مخطط الفقاعات</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Bubble Chart</w:t>
            </w:r>
          </w:p>
        </w:tc>
      </w:tr>
    </w:tbl>
    <w:p>
      <w:pPr>
        <w:spacing w:after="120" w:before="80"/>
        <w:jc w:val="center"/>
        <w:bidi w:val="1"/>
      </w:pPr>
      <w:r>
        <w:drawing>
          <wp:inline xmlns:a="http://schemas.openxmlformats.org/drawingml/2006/main" xmlns:pic="http://schemas.openxmlformats.org/drawingml/2006/picture">
            <wp:extent cx="5976000" cy="3518129"/>
            <wp:docPr id="43" name="Picture 43"/>
            <wp:cNvGraphicFramePr>
              <a:graphicFrameLocks noChangeAspect="1"/>
            </wp:cNvGraphicFramePr>
            <a:graphic>
              <a:graphicData uri="http://schemas.openxmlformats.org/drawingml/2006/picture">
                <pic:pic>
                  <pic:nvPicPr>
                    <pic:cNvPr id="0" name="bubble.png"/>
                    <pic:cNvPicPr/>
                  </pic:nvPicPr>
                  <pic:blipFill>
                    <a:blip r:embed="rId55"/>
                    <a:stretch>
                      <a:fillRect/>
                    </a:stretch>
                  </pic:blipFill>
                  <pic:spPr>
                    <a:xfrm>
                      <a:off x="0" y="0"/>
                      <a:ext cx="5976000" cy="3518129"/>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انتشار + حجم النقطة كبعد ثالث، وأحياناً لون كرابع.</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دول: دخل × عمر × سكّان. محفظة منتجات: نمو × حصة × ربح.</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مقارنة الأحجام غير دقيقة. الفقاعات المتراكبة تخفي. لا تستخدم أكثر من بُعدين إن أمكن.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3 متغيرات كمّية (+ فئة لونية اختيارية).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ترميز القيمة بنصف القطر لا بالمساحة.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Scatter + تسميات، أو لوحات صغيرة (small multiples).</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29   التجميع السداسي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Hexbin</w:t>
            </w:r>
          </w:p>
        </w:tc>
      </w:tr>
    </w:tbl>
    <w:p>
      <w:pPr>
        <w:spacing w:after="120" w:before="80"/>
        <w:jc w:val="center"/>
        <w:bidi w:val="1"/>
      </w:pPr>
      <w:r>
        <w:drawing>
          <wp:inline xmlns:a="http://schemas.openxmlformats.org/drawingml/2006/main" xmlns:pic="http://schemas.openxmlformats.org/drawingml/2006/picture">
            <wp:extent cx="5976000" cy="3441799"/>
            <wp:docPr id="44" name="Picture 44"/>
            <wp:cNvGraphicFramePr>
              <a:graphicFrameLocks noChangeAspect="1"/>
            </wp:cNvGraphicFramePr>
            <a:graphic>
              <a:graphicData uri="http://schemas.openxmlformats.org/drawingml/2006/picture">
                <pic:pic>
                  <pic:nvPicPr>
                    <pic:cNvPr id="0" name="hexbin.png"/>
                    <pic:cNvPicPr/>
                  </pic:nvPicPr>
                  <pic:blipFill>
                    <a:blip r:embed="rId56"/>
                    <a:stretch>
                      <a:fillRect/>
                    </a:stretch>
                  </pic:blipFill>
                  <pic:spPr>
                    <a:xfrm>
                      <a:off x="0" y="0"/>
                      <a:ext cx="5976000" cy="3441799"/>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يقسم المستوى إلى خلايا سداسية ويلوّنها حسب العدد. يحلّ مشكلة الحبر الأسود.</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عشرات الآلاف من النقاط: إحداثيات، قياسات أجهزة، نقرات.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يناسب العيّنات الصغيرة. الحدود السداسية قد تُقرأ كخريطة دون أن تكون كذلك.</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متغيّران كمّيان، n كبير.</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مقياس لوني غير متسلسل يخلق حدوداً زائفة.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Heatmap ثنائي أو كثافة 2D.</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30   كثافة ثنائية الأبعاد</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2D Density</w:t>
            </w:r>
          </w:p>
        </w:tc>
      </w:tr>
    </w:tbl>
    <w:p>
      <w:pPr>
        <w:spacing w:after="120" w:before="80"/>
        <w:jc w:val="center"/>
        <w:bidi w:val="1"/>
      </w:pPr>
      <w:r>
        <w:drawing>
          <wp:inline xmlns:a="http://schemas.openxmlformats.org/drawingml/2006/main" xmlns:pic="http://schemas.openxmlformats.org/drawingml/2006/picture">
            <wp:extent cx="5976000" cy="3507522"/>
            <wp:docPr id="45" name="Picture 45"/>
            <wp:cNvGraphicFramePr>
              <a:graphicFrameLocks noChangeAspect="1"/>
            </wp:cNvGraphicFramePr>
            <a:graphic>
              <a:graphicData uri="http://schemas.openxmlformats.org/drawingml/2006/picture">
                <pic:pic>
                  <pic:nvPicPr>
                    <pic:cNvPr id="0" name="density2d.png"/>
                    <pic:cNvPicPr/>
                  </pic:nvPicPr>
                  <pic:blipFill>
                    <a:blip r:embed="rId57"/>
                    <a:stretch>
                      <a:fillRect/>
                    </a:stretch>
                  </pic:blipFill>
                  <pic:spPr>
                    <a:xfrm>
                      <a:off x="0" y="0"/>
                      <a:ext cx="5976000" cy="3507522"/>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تقدير أملس لكثافة النقاط في المستوى. يظهر أين يتمركز الجمهور.</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مناطق الكثافة في بيانات ضخمة، مقارنة أنماط استخدام.</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التمهيد قد يخفي عنقوداً صغيراً مهماً. ليس بديلاً عن فحص الشواذ يدوياً.</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متغيّران كمّيان، n كبير.</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تدرّج لوني غير متسلسل.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Hexbin للقراءة العددية أوضح.</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31   الانتشار المتصل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Connected Scatterplot</w:t>
            </w:r>
          </w:p>
        </w:tc>
      </w:tr>
    </w:tbl>
    <w:p>
      <w:pPr>
        <w:spacing w:after="120" w:before="80"/>
        <w:jc w:val="center"/>
        <w:bidi w:val="1"/>
      </w:pPr>
      <w:r>
        <w:drawing>
          <wp:inline xmlns:a="http://schemas.openxmlformats.org/drawingml/2006/main" xmlns:pic="http://schemas.openxmlformats.org/drawingml/2006/picture">
            <wp:extent cx="5976000" cy="3543768"/>
            <wp:docPr id="46" name="Picture 46"/>
            <wp:cNvGraphicFramePr>
              <a:graphicFrameLocks noChangeAspect="1"/>
            </wp:cNvGraphicFramePr>
            <a:graphic>
              <a:graphicData uri="http://schemas.openxmlformats.org/drawingml/2006/picture">
                <pic:pic>
                  <pic:nvPicPr>
                    <pic:cNvPr id="0" name="connected_scatter.png"/>
                    <pic:cNvPicPr/>
                  </pic:nvPicPr>
                  <pic:blipFill>
                    <a:blip r:embed="rId58"/>
                    <a:stretch>
                      <a:fillRect/>
                    </a:stretch>
                  </pic:blipFill>
                  <pic:spPr>
                    <a:xfrm>
                      <a:off x="0" y="0"/>
                      <a:ext cx="5976000" cy="3543768"/>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نقاط زمنية متصلة في فضاء متغيّرين (مثلاً تضخم × بطالة). يروي مسار النظام.</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مسارات اقتصادية، تطوّر علاقة عبر السنوات، حلقات ودورات.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خطوط متشابكة لعدة كيانات تصبح غير قابلة للقراءة. وضّح البداية والنهاية.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متغيّران كمّيان + زمن.</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عدم تعليم السنوات على المسار.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لوحتان خطّيتان إذا كانت القصة لكل متغير على حدة.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32   مصفوفة الارتباط</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Correlation Heatmap / Correlogram</w:t>
            </w:r>
          </w:p>
        </w:tc>
      </w:tr>
    </w:tbl>
    <w:p>
      <w:pPr>
        <w:spacing w:after="120" w:before="80"/>
        <w:jc w:val="center"/>
        <w:bidi w:val="1"/>
      </w:pPr>
      <w:r>
        <w:drawing>
          <wp:inline xmlns:a="http://schemas.openxmlformats.org/drawingml/2006/main" xmlns:pic="http://schemas.openxmlformats.org/drawingml/2006/picture">
            <wp:extent cx="5976000" cy="4926726"/>
            <wp:docPr id="47" name="Picture 47"/>
            <wp:cNvGraphicFramePr>
              <a:graphicFrameLocks noChangeAspect="1"/>
            </wp:cNvGraphicFramePr>
            <a:graphic>
              <a:graphicData uri="http://schemas.openxmlformats.org/drawingml/2006/picture">
                <pic:pic>
                  <pic:nvPicPr>
                    <pic:cNvPr id="0" name="corr_heatmap.png"/>
                    <pic:cNvPicPr/>
                  </pic:nvPicPr>
                  <pic:blipFill>
                    <a:blip r:embed="rId59"/>
                    <a:stretch>
                      <a:fillRect/>
                    </a:stretch>
                  </pic:blipFill>
                  <pic:spPr>
                    <a:xfrm>
                      <a:off x="0" y="0"/>
                      <a:ext cx="5976000" cy="492672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شبكة ألوان لمعاملات الارتباط بين متغيرات كثيرة. خارطة علاقات أولية.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استكشاف مجموعة متغيرات قبل النمذجة، اكتشاف ازدواج خطّي.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الارتباط ≠ سببية. لا تعرض 50×50 بلا تجميع. رتّب المتغيرات منطقياً أو عنقودياً.</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عدة متغيرات كمّية.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مقياس لوني لا يمرّ بالصفر بوضوح، أو خلط Pearson مع بيانات رتبية.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Parallel coordinates لأنماط الأفراد.</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33   الإحداثيات المتوازية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Parallel Coordinates</w:t>
            </w:r>
          </w:p>
        </w:tc>
      </w:tr>
    </w:tbl>
    <w:p>
      <w:pPr>
        <w:spacing w:after="120" w:before="80"/>
        <w:jc w:val="center"/>
        <w:bidi w:val="1"/>
      </w:pPr>
      <w:r>
        <w:drawing>
          <wp:inline xmlns:a="http://schemas.openxmlformats.org/drawingml/2006/main" xmlns:pic="http://schemas.openxmlformats.org/drawingml/2006/picture">
            <wp:extent cx="5976000" cy="3368824"/>
            <wp:docPr id="48" name="Picture 48"/>
            <wp:cNvGraphicFramePr>
              <a:graphicFrameLocks noChangeAspect="1"/>
            </wp:cNvGraphicFramePr>
            <a:graphic>
              <a:graphicData uri="http://schemas.openxmlformats.org/drawingml/2006/picture">
                <pic:pic>
                  <pic:nvPicPr>
                    <pic:cNvPr id="0" name="parallel.png"/>
                    <pic:cNvPicPr/>
                  </pic:nvPicPr>
                  <pic:blipFill>
                    <a:blip r:embed="rId60"/>
                    <a:stretch>
                      <a:fillRect/>
                    </a:stretch>
                  </pic:blipFill>
                  <pic:spPr>
                    <a:xfrm>
                      <a:off x="0" y="0"/>
                      <a:ext cx="5976000" cy="3368824"/>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كل محور متغير، وكل خط فرد. يكشف التشكيلات والأنماط متعددة الأبعاد.</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مقارنة منتجات بمعايير متعددة، ملفات زبائن، تصميم بدائل.</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خطوط كثيرة جداً تسوّد الصفحة. إعادة ترتيب المحاور تغيّر القصة؛ رتّبها عن قصد.</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أفراد × عدة متغيرات كمّية (بعد التوحيد).</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مقاييس خام غير موحّدة تجعل محوراً يبتلع الباقي.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Radar لعدد قليل من الأفراد، أو جدول.</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49" name="Picture 49"/>
            <wp:cNvGraphicFramePr>
              <a:graphicFrameLocks noChangeAspect="1"/>
            </wp:cNvGraphicFramePr>
            <a:graphic>
              <a:graphicData uri="http://schemas.openxmlformats.org/drawingml/2006/picture">
                <pic:pic>
                  <pic:nvPicPr>
                    <pic:cNvPr id="0" name="d_time.png"/>
                    <pic:cNvPicPr/>
                  </pic:nvPicPr>
                  <pic:blipFill>
                    <a:blip r:embed="rId61"/>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34   المخطط الخطّي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Line Chart</w:t>
            </w:r>
          </w:p>
        </w:tc>
      </w:tr>
    </w:tbl>
    <w:p>
      <w:pPr>
        <w:spacing w:after="120" w:before="80"/>
        <w:jc w:val="center"/>
        <w:bidi w:val="1"/>
      </w:pPr>
      <w:r>
        <w:drawing>
          <wp:inline xmlns:a="http://schemas.openxmlformats.org/drawingml/2006/main" xmlns:pic="http://schemas.openxmlformats.org/drawingml/2006/picture">
            <wp:extent cx="5976000" cy="3361500"/>
            <wp:docPr id="50" name="Picture 50"/>
            <wp:cNvGraphicFramePr>
              <a:graphicFrameLocks noChangeAspect="1"/>
            </wp:cNvGraphicFramePr>
            <a:graphic>
              <a:graphicData uri="http://schemas.openxmlformats.org/drawingml/2006/picture">
                <pic:pic>
                  <pic:nvPicPr>
                    <pic:cNvPr id="0" name="line.png"/>
                    <pic:cNvPicPr/>
                  </pic:nvPicPr>
                  <pic:blipFill>
                    <a:blip r:embed="rId62"/>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نقاط متصلة عبر زمن. الأداة الأولى للاتجاه والانكسار والموسمية الخفيفة.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سلسلة زمنية لمتغير واحد أو قليل: سعر، مستخدمون، حرارة. كثافة زمنية عالية.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تصل نقاط فئات اسمية غير مرتّبة بخط؛ الخط يوحي بالاستمرار. فجوات البيانات يجب أن تُقطع لا أن تُوصل.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زمن منتظم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محور زمني غير متساوٍ، أو تنعيم يخفي صدمة حقيقية.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عمود للفترات القليلة جداً (4 أرباع)، Area لإبراز الحجم.</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35   خطوط متعددة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Multi-series Line</w:t>
            </w:r>
          </w:p>
        </w:tc>
      </w:tr>
    </w:tbl>
    <w:p>
      <w:pPr>
        <w:spacing w:after="120" w:before="80"/>
        <w:jc w:val="center"/>
        <w:bidi w:val="1"/>
      </w:pPr>
      <w:r>
        <w:drawing>
          <wp:inline xmlns:a="http://schemas.openxmlformats.org/drawingml/2006/main" xmlns:pic="http://schemas.openxmlformats.org/drawingml/2006/picture">
            <wp:extent cx="5976000" cy="3361500"/>
            <wp:docPr id="51" name="Picture 51"/>
            <wp:cNvGraphicFramePr>
              <a:graphicFrameLocks noChangeAspect="1"/>
            </wp:cNvGraphicFramePr>
            <a:graphic>
              <a:graphicData uri="http://schemas.openxmlformats.org/drawingml/2006/picture">
                <pic:pic>
                  <pic:nvPicPr>
                    <pic:cNvPr id="0" name="multiline.png"/>
                    <pic:cNvPicPr/>
                  </pic:nvPicPr>
                  <pic:blipFill>
                    <a:blip r:embed="rId63"/>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عدة سلاسل على المحور نفسه. مقارنة اتجاهات كيانات عبر الزمن.</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3–6 سلاسل كحد مريح. أبرز السلسلة الأهم بلون أقوى.</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أكثر من 7 خطوط بلا تمييز تُصبح «سباغيتي». لا تستخدم محاور مزدوجة إلا بحذر شديد.</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زمن + عدة سلاسل.</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محوران عموديان بمقاييس مخادعة توحي بعلاقة زائفة.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Small multiples (لوحة لكل سلسلة) عند الازدحام.</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36   المخطط المساحي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Area Chart</w:t>
            </w:r>
          </w:p>
        </w:tc>
      </w:tr>
    </w:tbl>
    <w:p>
      <w:pPr>
        <w:spacing w:after="120" w:before="80"/>
        <w:jc w:val="center"/>
        <w:bidi w:val="1"/>
      </w:pPr>
      <w:r>
        <w:drawing>
          <wp:inline xmlns:a="http://schemas.openxmlformats.org/drawingml/2006/main" xmlns:pic="http://schemas.openxmlformats.org/drawingml/2006/picture">
            <wp:extent cx="5976000" cy="3361500"/>
            <wp:docPr id="52" name="Picture 52"/>
            <wp:cNvGraphicFramePr>
              <a:graphicFrameLocks noChangeAspect="1"/>
            </wp:cNvGraphicFramePr>
            <a:graphic>
              <a:graphicData uri="http://schemas.openxmlformats.org/drawingml/2006/picture">
                <pic:pic>
                  <pic:nvPicPr>
                    <pic:cNvPr id="0" name="area.png"/>
                    <pic:cNvPicPr/>
                  </pic:nvPicPr>
                  <pic:blipFill>
                    <a:blip r:embed="rId64"/>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خط مع مساحة مملوءة تحته. يبرز الحجم التراكمي لا الميل فقط.</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مخزون، مدّخرات، عدد موظفين: كميات لها «ثِقل» تحت الخط.</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لأسعار متذبذبة؛ الملء يوحي بحجم لا وجود له. لا تكدّس سلاسل غير تراكمية.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زمن + قيمة موجبة.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ملء يبدأ من قيمة غير صفر.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خط للاتجاه الصرف.</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37   المساحة المكدّسة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Stacked Area</w:t>
            </w:r>
          </w:p>
        </w:tc>
      </w:tr>
    </w:tbl>
    <w:p>
      <w:pPr>
        <w:spacing w:after="120" w:before="80"/>
        <w:jc w:val="center"/>
        <w:bidi w:val="1"/>
      </w:pPr>
      <w:r>
        <w:drawing>
          <wp:inline xmlns:a="http://schemas.openxmlformats.org/drawingml/2006/main" xmlns:pic="http://schemas.openxmlformats.org/drawingml/2006/picture">
            <wp:extent cx="5976000" cy="3361500"/>
            <wp:docPr id="53" name="Picture 53"/>
            <wp:cNvGraphicFramePr>
              <a:graphicFrameLocks noChangeAspect="1"/>
            </wp:cNvGraphicFramePr>
            <a:graphic>
              <a:graphicData uri="http://schemas.openxmlformats.org/drawingml/2006/picture">
                <pic:pic>
                  <pic:nvPicPr>
                    <pic:cNvPr id="0" name="stacked_area.png"/>
                    <pic:cNvPicPr/>
                  </pic:nvPicPr>
                  <pic:blipFill>
                    <a:blip r:embed="rId65"/>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طبقات تُظهر كيف يتكوّن المجموع عبر الزمن، وكيف تتبدل الحصص.</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مزيج إيرادات، مصادر طاقة، شرائح مستخدمين حين يهمّك الكل والأجزاء.</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صعب قراءة السلسلة الوسطى. لا تكدّس أكثر من 4–5 طبقات. القيم السالبة مشكلة.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زمن + أجزاء موجبة لمجموع.</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ترتيب طبقات عشوائي؛ ضع الأكثر استقراراً في الأسفل.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Streamgraph للجماليات، 100٪ مكدّس للحصص.</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38   المخطط الانسيابي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Streamgraph</w:t>
            </w:r>
          </w:p>
        </w:tc>
      </w:tr>
    </w:tbl>
    <w:p>
      <w:pPr>
        <w:spacing w:after="120" w:before="80"/>
        <w:jc w:val="center"/>
        <w:bidi w:val="1"/>
      </w:pPr>
      <w:r>
        <w:drawing>
          <wp:inline xmlns:a="http://schemas.openxmlformats.org/drawingml/2006/main" xmlns:pic="http://schemas.openxmlformats.org/drawingml/2006/picture">
            <wp:extent cx="5976000" cy="3724636"/>
            <wp:docPr id="54" name="Picture 54"/>
            <wp:cNvGraphicFramePr>
              <a:graphicFrameLocks noChangeAspect="1"/>
            </wp:cNvGraphicFramePr>
            <a:graphic>
              <a:graphicData uri="http://schemas.openxmlformats.org/drawingml/2006/picture">
                <pic:pic>
                  <pic:nvPicPr>
                    <pic:cNvPr id="0" name="streamgraph.png"/>
                    <pic:cNvPicPr/>
                  </pic:nvPicPr>
                  <pic:blipFill>
                    <a:blip r:embed="rId66"/>
                    <a:stretch>
                      <a:fillRect/>
                    </a:stretch>
                  </pic:blipFill>
                  <pic:spPr>
                    <a:xfrm>
                      <a:off x="0" y="0"/>
                      <a:ext cx="5976000" cy="372463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مساحات مكدّسة حول محور وسط متموّج. درامي وجميل، أضعف في القراءة الدقيقة.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ثقافة، موسيقى، مواضيع عبر عقود؛ قصص تحريرية لا قرارات مالية.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تجنّبه حين تلزم قراءة رقم دقيق. الطبقات الوسطى تضلّل.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زمن + عدة أجزاء موجبة.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ألوان كثيرة متقاربة.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Stacked area أو small multiples.</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39   الخط الدرجي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Step Chart</w:t>
            </w:r>
          </w:p>
        </w:tc>
      </w:tr>
    </w:tbl>
    <w:p>
      <w:pPr>
        <w:spacing w:after="120" w:before="80"/>
        <w:jc w:val="center"/>
        <w:bidi w:val="1"/>
      </w:pPr>
      <w:r>
        <w:drawing>
          <wp:inline xmlns:a="http://schemas.openxmlformats.org/drawingml/2006/main" xmlns:pic="http://schemas.openxmlformats.org/drawingml/2006/picture">
            <wp:extent cx="5976000" cy="3557578"/>
            <wp:docPr id="55" name="Picture 55"/>
            <wp:cNvGraphicFramePr>
              <a:graphicFrameLocks noChangeAspect="1"/>
            </wp:cNvGraphicFramePr>
            <a:graphic>
              <a:graphicData uri="http://schemas.openxmlformats.org/drawingml/2006/picture">
                <pic:pic>
                  <pic:nvPicPr>
                    <pic:cNvPr id="0" name="step.png"/>
                    <pic:cNvPicPr/>
                  </pic:nvPicPr>
                  <pic:blipFill>
                    <a:blip r:embed="rId67"/>
                    <a:stretch>
                      <a:fillRect/>
                    </a:stretch>
                  </pic:blipFill>
                  <pic:spPr>
                    <a:xfrm>
                      <a:off x="0" y="0"/>
                      <a:ext cx="5976000" cy="3557578"/>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القيمة تبقى ثابتة ثم تقفز. يحترم أن التغيّر حدث في لحظة لا بينهما.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أسعار فائدة، شرائح ضريبية، حالات تشغيل/إيقاف، سياسات.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لمتغير يتغيّر تدريجياً؛ يوحي بجمود زائف.</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زمن + قيمة تتغيّر بقفزات.</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وصل الدرجات بخطوط مائلة.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خط عادي للتغيّر المستمر.</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40   الشموع اليابانية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Candlestick</w:t>
            </w:r>
          </w:p>
        </w:tc>
      </w:tr>
    </w:tbl>
    <w:p>
      <w:pPr>
        <w:spacing w:after="120" w:before="80"/>
        <w:jc w:val="center"/>
        <w:bidi w:val="1"/>
      </w:pPr>
      <w:r>
        <w:drawing>
          <wp:inline xmlns:a="http://schemas.openxmlformats.org/drawingml/2006/main" xmlns:pic="http://schemas.openxmlformats.org/drawingml/2006/picture">
            <wp:extent cx="5976000" cy="3483018"/>
            <wp:docPr id="56" name="Picture 56"/>
            <wp:cNvGraphicFramePr>
              <a:graphicFrameLocks noChangeAspect="1"/>
            </wp:cNvGraphicFramePr>
            <a:graphic>
              <a:graphicData uri="http://schemas.openxmlformats.org/drawingml/2006/picture">
                <pic:pic>
                  <pic:nvPicPr>
                    <pic:cNvPr id="0" name="candlestick.png"/>
                    <pic:cNvPicPr/>
                  </pic:nvPicPr>
                  <pic:blipFill>
                    <a:blip r:embed="rId68"/>
                    <a:stretch>
                      <a:fillRect/>
                    </a:stretch>
                  </pic:blipFill>
                  <pic:spPr>
                    <a:xfrm>
                      <a:off x="0" y="0"/>
                      <a:ext cx="5976000" cy="3483018"/>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لكل فترة: افتتاح، أعلى، أدنى، إغلاق. لغة التحليل الفنّي للأسواق.</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أسهم، عملات، سلع. قراءة الزخم اليومي.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معنى له خارج بيانات OHLC. مضلّل لجمهور غير مالي دون مفتاح.</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OHLC لكل فترة.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خلط إطار زمني دون الإفصاح (يومي مع أسبوعي).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OHLC bar أبسط، خط للإغلاق فقط إن لم تلزم التفاصيل.</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41   خريطة حرارية تقويمية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Calendar Heatmap</w:t>
            </w:r>
          </w:p>
        </w:tc>
      </w:tr>
    </w:tbl>
    <w:p>
      <w:pPr>
        <w:spacing w:after="120" w:before="80"/>
        <w:jc w:val="center"/>
        <w:bidi w:val="1"/>
      </w:pPr>
      <w:r>
        <w:drawing>
          <wp:inline xmlns:a="http://schemas.openxmlformats.org/drawingml/2006/main" xmlns:pic="http://schemas.openxmlformats.org/drawingml/2006/picture">
            <wp:extent cx="5976000" cy="2398733"/>
            <wp:docPr id="57" name="Picture 57"/>
            <wp:cNvGraphicFramePr>
              <a:graphicFrameLocks noChangeAspect="1"/>
            </wp:cNvGraphicFramePr>
            <a:graphic>
              <a:graphicData uri="http://schemas.openxmlformats.org/drawingml/2006/picture">
                <pic:pic>
                  <pic:nvPicPr>
                    <pic:cNvPr id="0" name="calendar_heatmap.png"/>
                    <pic:cNvPicPr/>
                  </pic:nvPicPr>
                  <pic:blipFill>
                    <a:blip r:embed="rId69"/>
                    <a:stretch>
                      <a:fillRect/>
                    </a:stretch>
                  </pic:blipFill>
                  <pic:spPr>
                    <a:xfrm>
                      <a:off x="0" y="0"/>
                      <a:ext cx="5976000" cy="2398733"/>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أيام السنة كخلايا ملونة. يكشف الموسمية الأسبوعية والشذوذات اليومية.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نشاط مستخدمين، حوادث، مساهمات GitHub، استهلاك طاقة يومي.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يصلح لقيم تحتاج مقارنة دقيقة بين يومين متباعدين. اللون ≠ رقم.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تاريخ يومي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مقياس لوني يقفز فجأة أو يبدأ من غير صفر بلا مفتاح.</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خط يومي للاتجاه الطويل، Ridgeline للأشهر.</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42   الشرارة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Sparkline</w:t>
            </w:r>
          </w:p>
        </w:tc>
      </w:tr>
    </w:tbl>
    <w:p>
      <w:pPr>
        <w:spacing w:after="120" w:before="80"/>
        <w:jc w:val="center"/>
        <w:bidi w:val="1"/>
      </w:pPr>
      <w:r>
        <w:drawing>
          <wp:inline xmlns:a="http://schemas.openxmlformats.org/drawingml/2006/main" xmlns:pic="http://schemas.openxmlformats.org/drawingml/2006/picture">
            <wp:extent cx="5976000" cy="3182363"/>
            <wp:docPr id="58" name="Picture 58"/>
            <wp:cNvGraphicFramePr>
              <a:graphicFrameLocks noChangeAspect="1"/>
            </wp:cNvGraphicFramePr>
            <a:graphic>
              <a:graphicData uri="http://schemas.openxmlformats.org/drawingml/2006/picture">
                <pic:pic>
                  <pic:nvPicPr>
                    <pic:cNvPr id="0" name="sparkline.png"/>
                    <pic:cNvPicPr/>
                  </pic:nvPicPr>
                  <pic:blipFill>
                    <a:blip r:embed="rId70"/>
                    <a:stretch>
                      <a:fillRect/>
                    </a:stretch>
                  </pic:blipFill>
                  <pic:spPr>
                    <a:xfrm>
                      <a:off x="0" y="0"/>
                      <a:ext cx="5976000" cy="3182363"/>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خط مصغّر بلا محاور، داخل جدول أو بطاقة مؤشر. اختراع Tufte.</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لوحات كثيفة: اتجاه كل صف في جدول، بطاقات KPI صغيرة.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تستخدمه للتحليل العميق أو حين يلزم مقياس مطلق ظاهر.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سلسلة قصيرة لكل كيان.</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شرارات بمقاييس مختلفة تُقارن بصرياً وكأنها موحّدة.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خط كامل في تقرير تفصيلي.</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43   مخطط الضبط</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Control Chart</w:t>
            </w:r>
          </w:p>
        </w:tc>
      </w:tr>
    </w:tbl>
    <w:p>
      <w:pPr>
        <w:spacing w:after="120" w:before="80"/>
        <w:jc w:val="center"/>
        <w:bidi w:val="1"/>
      </w:pPr>
      <w:r>
        <w:drawing>
          <wp:inline xmlns:a="http://schemas.openxmlformats.org/drawingml/2006/main" xmlns:pic="http://schemas.openxmlformats.org/drawingml/2006/picture">
            <wp:extent cx="5976000" cy="3542226"/>
            <wp:docPr id="59" name="Picture 59"/>
            <wp:cNvGraphicFramePr>
              <a:graphicFrameLocks noChangeAspect="1"/>
            </wp:cNvGraphicFramePr>
            <a:graphic>
              <a:graphicData uri="http://schemas.openxmlformats.org/drawingml/2006/picture">
                <pic:pic>
                  <pic:nvPicPr>
                    <pic:cNvPr id="0" name="control.png"/>
                    <pic:cNvPicPr/>
                  </pic:nvPicPr>
                  <pic:blipFill>
                    <a:blip r:embed="rId71"/>
                    <a:stretch>
                      <a:fillRect/>
                    </a:stretch>
                  </pic:blipFill>
                  <pic:spPr>
                    <a:xfrm>
                      <a:off x="0" y="0"/>
                      <a:ext cx="5976000" cy="354222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سلسلة مع متوسط وحدود ضبط (±3σ عادة). يفرّق الضجيج عن الإشارة.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جودة تصنيع، أزمنة خدمة، مؤشرات تشغيلية. قواعد Shewhart.</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حدود محسوبة من بيانات غير مستقرة أصلاً تصبح كذبة. ليس للتنبؤ المالي.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قياسات متتابعة لعملية.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إعادة حساب الحدود بعد كل نقطة شاذة دون سبب.</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خط مع نطاق ثقة إن لم تكن العملية صناعية.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44   مخطط المروحة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Fan Chart</w:t>
            </w:r>
          </w:p>
        </w:tc>
      </w:tr>
    </w:tbl>
    <w:p>
      <w:pPr>
        <w:spacing w:after="120" w:before="80"/>
        <w:jc w:val="center"/>
        <w:bidi w:val="1"/>
      </w:pPr>
      <w:r>
        <w:drawing>
          <wp:inline xmlns:a="http://schemas.openxmlformats.org/drawingml/2006/main" xmlns:pic="http://schemas.openxmlformats.org/drawingml/2006/picture">
            <wp:extent cx="5976000" cy="3361500"/>
            <wp:docPr id="60" name="Picture 60"/>
            <wp:cNvGraphicFramePr>
              <a:graphicFrameLocks noChangeAspect="1"/>
            </wp:cNvGraphicFramePr>
            <a:graphic>
              <a:graphicData uri="http://schemas.openxmlformats.org/drawingml/2006/picture">
                <pic:pic>
                  <pic:nvPicPr>
                    <pic:cNvPr id="0" name="fan.png"/>
                    <pic:cNvPicPr/>
                  </pic:nvPicPr>
                  <pic:blipFill>
                    <a:blip r:embed="rId72"/>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توقّع مركزي ونطاقات احتمالية تتّسع. صراحة حيال عدم اليقين.</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توقعات تضخم وبنوك مركزية، نماذج وبائية، أي تنبؤ أمين.</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تعرض مروحة إن لم تحسب نطاقاً حقيقياً. النطاقات الملونة ليست زخرفة.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سلسلة تاريخية + توقّع + فواصل ثقة.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إخفاء أن العرض احتمالي وتسميته «الخطة».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خط + نطاق واحد بسيط للجمهور العام.</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45   الأفق</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Horizon Chart</w:t>
            </w:r>
          </w:p>
        </w:tc>
      </w:tr>
    </w:tbl>
    <w:p>
      <w:pPr>
        <w:spacing w:after="120" w:before="80"/>
        <w:jc w:val="center"/>
        <w:bidi w:val="1"/>
      </w:pPr>
      <w:r>
        <w:drawing>
          <wp:inline xmlns:a="http://schemas.openxmlformats.org/drawingml/2006/main" xmlns:pic="http://schemas.openxmlformats.org/drawingml/2006/picture">
            <wp:extent cx="5976000" cy="3337852"/>
            <wp:docPr id="61" name="Picture 61"/>
            <wp:cNvGraphicFramePr>
              <a:graphicFrameLocks noChangeAspect="1"/>
            </wp:cNvGraphicFramePr>
            <a:graphic>
              <a:graphicData uri="http://schemas.openxmlformats.org/drawingml/2006/picture">
                <pic:pic>
                  <pic:nvPicPr>
                    <pic:cNvPr id="0" name="horizon.png"/>
                    <pic:cNvPicPr/>
                  </pic:nvPicPr>
                  <pic:blipFill>
                    <a:blip r:embed="rId73"/>
                    <a:stretch>
                      <a:fillRect/>
                    </a:stretch>
                  </pic:blipFill>
                  <pic:spPr>
                    <a:xfrm>
                      <a:off x="0" y="0"/>
                      <a:ext cx="5976000" cy="3337852"/>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يطوي المساحات الموجبة والسالبة في طبقات لونية لتوفير الارتفاع. كثيف للمحترفين.</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مراقبة عشرات السلاسل في شاشة عمليات.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يحتاج تدريباً. لا تستخدمه في تقرير لمرة واحدة لجمهور عام.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عدة سلاسل زمنية.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طبقات لونية بلا مفتاح.</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Small multiples لخطوط عادية.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46   مخطط المدى</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Span / Range Chart</w:t>
            </w:r>
          </w:p>
        </w:tc>
      </w:tr>
    </w:tbl>
    <w:p>
      <w:pPr>
        <w:spacing w:after="120" w:before="80"/>
        <w:jc w:val="center"/>
        <w:bidi w:val="1"/>
      </w:pPr>
      <w:r>
        <w:drawing>
          <wp:inline xmlns:a="http://schemas.openxmlformats.org/drawingml/2006/main" xmlns:pic="http://schemas.openxmlformats.org/drawingml/2006/picture">
            <wp:extent cx="5976000" cy="3564846"/>
            <wp:docPr id="62" name="Picture 62"/>
            <wp:cNvGraphicFramePr>
              <a:graphicFrameLocks noChangeAspect="1"/>
            </wp:cNvGraphicFramePr>
            <a:graphic>
              <a:graphicData uri="http://schemas.openxmlformats.org/drawingml/2006/picture">
                <pic:pic>
                  <pic:nvPicPr>
                    <pic:cNvPr id="0" name="span.png"/>
                    <pic:cNvPicPr/>
                  </pic:nvPicPr>
                  <pic:blipFill>
                    <a:blip r:embed="rId74"/>
                    <a:stretch>
                      <a:fillRect/>
                    </a:stretch>
                  </pic:blipFill>
                  <pic:spPr>
                    <a:xfrm>
                      <a:off x="0" y="0"/>
                      <a:ext cx="5976000" cy="356484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خط من أدنى إلى أعلى لكل فئة أو فترة. يركز على الاتساع لا على المتوسط وحده.</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درجات حرارة يومية (min/max)، نطاق أسعار، فترات ثقة مبسطة.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يُظهر التوزيع داخل المدى. لا تستخدمه إن كان الوسيط هو القصة.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فئة أو زمن + حدّان.</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مدى بلا نقطة مركزية حين يكون المركز مهماً.</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Box إذا أردت الربيعات أيضاً.</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63" name="Picture 63"/>
            <wp:cNvGraphicFramePr>
              <a:graphicFrameLocks noChangeAspect="1"/>
            </wp:cNvGraphicFramePr>
            <a:graphic>
              <a:graphicData uri="http://schemas.openxmlformats.org/drawingml/2006/picture">
                <pic:pic>
                  <pic:nvPicPr>
                    <pic:cNvPr id="0" name="d_part.png"/>
                    <pic:cNvPicPr/>
                  </pic:nvPicPr>
                  <pic:blipFill>
                    <a:blip r:embed="rId75"/>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47   الدائرة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Pie Chart</w:t>
            </w:r>
          </w:p>
        </w:tc>
      </w:tr>
    </w:tbl>
    <w:p>
      <w:pPr>
        <w:spacing w:after="120" w:before="80"/>
        <w:jc w:val="center"/>
        <w:bidi w:val="1"/>
      </w:pPr>
      <w:r>
        <w:drawing>
          <wp:inline xmlns:a="http://schemas.openxmlformats.org/drawingml/2006/main" xmlns:pic="http://schemas.openxmlformats.org/drawingml/2006/picture">
            <wp:extent cx="5976000" cy="5976000"/>
            <wp:docPr id="64" name="Picture 64"/>
            <wp:cNvGraphicFramePr>
              <a:graphicFrameLocks noChangeAspect="1"/>
            </wp:cNvGraphicFramePr>
            <a:graphic>
              <a:graphicData uri="http://schemas.openxmlformats.org/drawingml/2006/picture">
                <pic:pic>
                  <pic:nvPicPr>
                    <pic:cNvPr id="0" name="pie.png"/>
                    <pic:cNvPicPr/>
                  </pic:nvPicPr>
                  <pic:blipFill>
                    <a:blip r:embed="rId76"/>
                    <a:stretch>
                      <a:fillRect/>
                    </a:stretch>
                  </pic:blipFill>
                  <pic:spPr>
                    <a:xfrm>
                      <a:off x="0" y="0"/>
                      <a:ext cx="5976000" cy="59760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شرائح زاوية تمثّل حصصاً من كلّ. شهير ومحدود.</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2–5 شرائح، وإحداها هي البطلة التي تريد إبرازها. نسب تُجمع إلى 100٪.</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أكثر من 5 شرائح، أو شرائح متقاربة، أو مقارنة دائرتين. الزاوية أضعف إدراكياً من الطول.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أجزاء من كلّ واحد، قليلة العدد.</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شرائح ثلاثية الأبعاد، أو مجموع لا يساوي 100٪.</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Waffle أو شريط 100٪ أو Donut مع رقم في الوسط.</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48   الدونات</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Donut Chart</w:t>
            </w:r>
          </w:p>
        </w:tc>
      </w:tr>
    </w:tbl>
    <w:p>
      <w:pPr>
        <w:spacing w:after="120" w:before="80"/>
        <w:jc w:val="center"/>
        <w:bidi w:val="1"/>
      </w:pPr>
      <w:r>
        <w:drawing>
          <wp:inline xmlns:a="http://schemas.openxmlformats.org/drawingml/2006/main" xmlns:pic="http://schemas.openxmlformats.org/drawingml/2006/picture">
            <wp:extent cx="5976000" cy="4839354"/>
            <wp:docPr id="65" name="Picture 65"/>
            <wp:cNvGraphicFramePr>
              <a:graphicFrameLocks noChangeAspect="1"/>
            </wp:cNvGraphicFramePr>
            <a:graphic>
              <a:graphicData uri="http://schemas.openxmlformats.org/drawingml/2006/picture">
                <pic:pic>
                  <pic:nvPicPr>
                    <pic:cNvPr id="0" name="donut.png"/>
                    <pic:cNvPicPr/>
                  </pic:nvPicPr>
                  <pic:blipFill>
                    <a:blip r:embed="rId77"/>
                    <a:stretch>
                      <a:fillRect/>
                    </a:stretch>
                  </pic:blipFill>
                  <pic:spPr>
                    <a:xfrm>
                      <a:off x="0" y="0"/>
                      <a:ext cx="5976000" cy="4839354"/>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دائرة مجوّفة؛ الفراغ الوسط مثالي لرقم البطل (المجموع أو النسبة الأهم).</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بطاقة مؤشر: حصة واحدة مقابل الباقي، أو 3–4 أجزاء مع رقم مركزي.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نفس قيود الدائرة. لا تضع سلاسل متعددة من الدونات للمقارنة.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أجزاء من كلّ.</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ثقب صغير جداً يُفقد ميزة الدونات، أو ألوان بلا تسميات مباشرة.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شريط 100٪ للمقارنة بين عدة كليات.</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49   الوافل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Waffle Chart</w:t>
            </w:r>
          </w:p>
        </w:tc>
      </w:tr>
    </w:tbl>
    <w:p>
      <w:pPr>
        <w:spacing w:after="120" w:before="80"/>
        <w:jc w:val="center"/>
        <w:bidi w:val="1"/>
      </w:pPr>
      <w:r>
        <w:drawing>
          <wp:inline xmlns:a="http://schemas.openxmlformats.org/drawingml/2006/main" xmlns:pic="http://schemas.openxmlformats.org/drawingml/2006/picture">
            <wp:extent cx="5976000" cy="4658030"/>
            <wp:docPr id="66" name="Picture 66"/>
            <wp:cNvGraphicFramePr>
              <a:graphicFrameLocks noChangeAspect="1"/>
            </wp:cNvGraphicFramePr>
            <a:graphic>
              <a:graphicData uri="http://schemas.openxmlformats.org/drawingml/2006/picture">
                <pic:pic>
                  <pic:nvPicPr>
                    <pic:cNvPr id="0" name="waffle.png"/>
                    <pic:cNvPicPr/>
                  </pic:nvPicPr>
                  <pic:blipFill>
                    <a:blip r:embed="rId78"/>
                    <a:stretch>
                      <a:fillRect/>
                    </a:stretch>
                  </pic:blipFill>
                  <pic:spPr>
                    <a:xfrm>
                      <a:off x="0" y="0"/>
                      <a:ext cx="5976000" cy="465803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شبكة 10×10؛ كل مربع = 1٪. أسهل عدّاً من شرائح الدائرة.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نسب مئوية لجمهور عام، إنفوجرافيك، هدف «كم من المئة».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يناسب أجزاءً كثيرة جداً ولا قيماً غير نسب. المقارنة بين وافلين أفضل من دائرتين لكنها ليست كالأعمدة.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نسب تُقرَّب إلى صحيح.</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مربعات غير مربعة أو شبكة لا تساوي 100.</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Pictogram للمسحة الإنسانية.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50   الأعمدة المكدّسة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Stacked Bar / Column</w:t>
            </w:r>
          </w:p>
        </w:tc>
      </w:tr>
    </w:tbl>
    <w:p>
      <w:pPr>
        <w:spacing w:after="120" w:before="80"/>
        <w:jc w:val="center"/>
        <w:bidi w:val="1"/>
      </w:pPr>
      <w:r>
        <w:drawing>
          <wp:inline xmlns:a="http://schemas.openxmlformats.org/drawingml/2006/main" xmlns:pic="http://schemas.openxmlformats.org/drawingml/2006/picture">
            <wp:extent cx="5976000" cy="3361500"/>
            <wp:docPr id="67" name="Picture 67"/>
            <wp:cNvGraphicFramePr>
              <a:graphicFrameLocks noChangeAspect="1"/>
            </wp:cNvGraphicFramePr>
            <a:graphic>
              <a:graphicData uri="http://schemas.openxmlformats.org/drawingml/2006/picture">
                <pic:pic>
                  <pic:nvPicPr>
                    <pic:cNvPr id="0" name="stacked_bar.png"/>
                    <pic:cNvPicPr/>
                  </pic:nvPicPr>
                  <pic:blipFill>
                    <a:blip r:embed="rId79"/>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كل عمود مجموع، والألوان أجزاؤه. يُظهر الكل والتركيب معاً.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إيرادات حسب نوع عبر أرباع، حين يهمّك المجموع والمكوّن.</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صعب مقارنة المكوّن الأوسط عبر الأعمدة. لا تكدّس أكثر من 4 ألوان.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أجزاء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تكديس أجزاء لا تجتمع منطقياً في كلّ.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مجمّع إذا كانت المقارنة بين الأجزاء أهم من المجموع.</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51   مكدّس 100٪</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100% Stacked Bar</w:t>
            </w:r>
          </w:p>
        </w:tc>
      </w:tr>
    </w:tbl>
    <w:p>
      <w:pPr>
        <w:spacing w:after="120" w:before="80"/>
        <w:jc w:val="center"/>
        <w:bidi w:val="1"/>
      </w:pPr>
      <w:r>
        <w:drawing>
          <wp:inline xmlns:a="http://schemas.openxmlformats.org/drawingml/2006/main" xmlns:pic="http://schemas.openxmlformats.org/drawingml/2006/picture">
            <wp:extent cx="5976000" cy="3620192"/>
            <wp:docPr id="68" name="Picture 68"/>
            <wp:cNvGraphicFramePr>
              <a:graphicFrameLocks noChangeAspect="1"/>
            </wp:cNvGraphicFramePr>
            <a:graphic>
              <a:graphicData uri="http://schemas.openxmlformats.org/drawingml/2006/picture">
                <pic:pic>
                  <pic:nvPicPr>
                    <pic:cNvPr id="0" name="stacked100.png"/>
                    <pic:cNvPicPr/>
                  </pic:nvPicPr>
                  <pic:blipFill>
                    <a:blip r:embed="rId80"/>
                    <a:stretch>
                      <a:fillRect/>
                    </a:stretch>
                  </pic:blipFill>
                  <pic:spPr>
                    <a:xfrm>
                      <a:off x="0" y="0"/>
                      <a:ext cx="5976000" cy="3620192"/>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يثبّت ارتفاع العمود عند 100٪ ليكشف تغيّر الحصص لا الحجم.</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تحوّل المزيج: من محلّي إلى سحابة، حصص سوق، توزّع إجابات ليكرت.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يخفي تغيّر الحجم الكلي. لا تستخدمه إن كان النمو المطلق هو القصة.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أجزاء تُنسب إلى 100٪ لكل فئة.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ترتيب ألوان غير ثابت عبر الأعمدة.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Marimekko إذا أردت الحصص والحجم معاً.</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52   الخريطة الشجرية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Treemap</w:t>
            </w:r>
          </w:p>
        </w:tc>
      </w:tr>
    </w:tbl>
    <w:p>
      <w:pPr>
        <w:spacing w:after="120" w:before="80"/>
        <w:jc w:val="center"/>
        <w:bidi w:val="1"/>
      </w:pPr>
      <w:r>
        <w:drawing>
          <wp:inline xmlns:a="http://schemas.openxmlformats.org/drawingml/2006/main" xmlns:pic="http://schemas.openxmlformats.org/drawingml/2006/picture">
            <wp:extent cx="5976000" cy="3727538"/>
            <wp:docPr id="69" name="Picture 69"/>
            <wp:cNvGraphicFramePr>
              <a:graphicFrameLocks noChangeAspect="1"/>
            </wp:cNvGraphicFramePr>
            <a:graphic>
              <a:graphicData uri="http://schemas.openxmlformats.org/drawingml/2006/picture">
                <pic:pic>
                  <pic:nvPicPr>
                    <pic:cNvPr id="0" name="treemap.png"/>
                    <pic:cNvPicPr/>
                  </pic:nvPicPr>
                  <pic:blipFill>
                    <a:blip r:embed="rId81"/>
                    <a:stretch>
                      <a:fillRect/>
                    </a:stretch>
                  </pic:blipFill>
                  <pic:spPr>
                    <a:xfrm>
                      <a:off x="0" y="0"/>
                      <a:ext cx="5976000" cy="3727538"/>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مستطيلات متداخلة؛ المساحة = القيمة. ممتاز للتسلسل الهرمي والكثير من الفئات.</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ميزانية بأبواب وبنود، مساحة أقراص، محفظة أسهم، مزيج قنوات.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مقارنة مستطيلات متقاربة المساحة ضعيفة. لا تستخدمه لسلّم زمني.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هرمية + قيمة موجبة.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ألوان عشوائية بلا مقياس، أو حدود كثيرة تبتلع المساحة.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Bar للدقّة، Sunburst لإبراز المستويات كحلقات.</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53   قرص الشمس</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Sunburst</w:t>
            </w:r>
          </w:p>
        </w:tc>
      </w:tr>
    </w:tbl>
    <w:p>
      <w:pPr>
        <w:spacing w:after="120" w:before="80"/>
        <w:jc w:val="center"/>
        <w:bidi w:val="1"/>
      </w:pPr>
      <w:r>
        <w:drawing>
          <wp:inline xmlns:a="http://schemas.openxmlformats.org/drawingml/2006/main" xmlns:pic="http://schemas.openxmlformats.org/drawingml/2006/picture">
            <wp:extent cx="5976000" cy="5976000"/>
            <wp:docPr id="70" name="Picture 70"/>
            <wp:cNvGraphicFramePr>
              <a:graphicFrameLocks noChangeAspect="1"/>
            </wp:cNvGraphicFramePr>
            <a:graphic>
              <a:graphicData uri="http://schemas.openxmlformats.org/drawingml/2006/picture">
                <pic:pic>
                  <pic:nvPicPr>
                    <pic:cNvPr id="0" name="sunburst.png"/>
                    <pic:cNvPicPr/>
                  </pic:nvPicPr>
                  <pic:blipFill>
                    <a:blip r:embed="rId82"/>
                    <a:stretch>
                      <a:fillRect/>
                    </a:stretch>
                  </pic:blipFill>
                  <pic:spPr>
                    <a:xfrm>
                      <a:off x="0" y="0"/>
                      <a:ext cx="5976000" cy="59760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حلقات متحدة المركز تمثّل مستويات هرمية. العلاقة أب–ابن أوضح من treemap.</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تصنيف منتجات متعدد المستويات، مصادر زوار، ميزانية بمستويين أو ثلاثة.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الحلقات الخارجية تبدو أكبر حتى لو تساوت القيم. صعب مع عمق كبير.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هرمية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مستويات بلا تسميات عند التحويم أو الرقم.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Icicle للقراءة الأفقية، Treemap للمساحة الأكبر.</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54   ماريميكو / ميكو</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Marimekko / Mosaic</w:t>
            </w:r>
          </w:p>
        </w:tc>
      </w:tr>
    </w:tbl>
    <w:p>
      <w:pPr>
        <w:spacing w:after="120" w:before="80"/>
        <w:jc w:val="center"/>
        <w:bidi w:val="1"/>
      </w:pPr>
      <w:r>
        <w:drawing>
          <wp:inline xmlns:a="http://schemas.openxmlformats.org/drawingml/2006/main" xmlns:pic="http://schemas.openxmlformats.org/drawingml/2006/picture">
            <wp:extent cx="5976000" cy="3253065"/>
            <wp:docPr id="71" name="Picture 71"/>
            <wp:cNvGraphicFramePr>
              <a:graphicFrameLocks noChangeAspect="1"/>
            </wp:cNvGraphicFramePr>
            <a:graphic>
              <a:graphicData uri="http://schemas.openxmlformats.org/drawingml/2006/picture">
                <pic:pic>
                  <pic:nvPicPr>
                    <pic:cNvPr id="0" name="marimekko.png"/>
                    <pic:cNvPicPr/>
                  </pic:nvPicPr>
                  <pic:blipFill>
                    <a:blip r:embed="rId83"/>
                    <a:stretch>
                      <a:fillRect/>
                    </a:stretch>
                  </pic:blipFill>
                  <pic:spPr>
                    <a:xfrm>
                      <a:off x="0" y="0"/>
                      <a:ext cx="5976000" cy="325306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أعمدة مكدّسة ذات عروض مختلفة: العرض = حجم الفئة، الارتفاع = الحصص.</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سوق: حجم المنطقة × مزيج المنتجات. مصفوفة احتمالات فئوية.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صعب القراءة الدقيقة. جمهور غير معتاد يحتاج مفتاحاً. لا تكثر الفئات.</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فئتان + قيمة (أو احتمالات).</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عرض لا يمثّل الحجم رغم أن العين تقرأه كذلك.</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Stacked 100% + عمود للحجم بجانبه.</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55   الدوائر المتراصّة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Circle Packing</w:t>
            </w:r>
          </w:p>
        </w:tc>
      </w:tr>
    </w:tbl>
    <w:p>
      <w:pPr>
        <w:spacing w:after="120" w:before="80"/>
        <w:jc w:val="center"/>
        <w:bidi w:val="1"/>
      </w:pPr>
      <w:r>
        <w:drawing>
          <wp:inline xmlns:a="http://schemas.openxmlformats.org/drawingml/2006/main" xmlns:pic="http://schemas.openxmlformats.org/drawingml/2006/picture">
            <wp:extent cx="5976000" cy="5048000"/>
            <wp:docPr id="72" name="Picture 72"/>
            <wp:cNvGraphicFramePr>
              <a:graphicFrameLocks noChangeAspect="1"/>
            </wp:cNvGraphicFramePr>
            <a:graphic>
              <a:graphicData uri="http://schemas.openxmlformats.org/drawingml/2006/picture">
                <pic:pic>
                  <pic:nvPicPr>
                    <pic:cNvPr id="0" name="circle_pack.png"/>
                    <pic:cNvPicPr/>
                  </pic:nvPicPr>
                  <pic:blipFill>
                    <a:blip r:embed="rId84"/>
                    <a:stretch>
                      <a:fillRect/>
                    </a:stretch>
                  </pic:blipFill>
                  <pic:spPr>
                    <a:xfrm>
                      <a:off x="0" y="0"/>
                      <a:ext cx="5976000" cy="50480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دوائر داخل دوائر للحجم والهرمية. جمالي واستكشافي.</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عرض تفاعلي لبنية مؤسسة أو ميزانية، ملصق.</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أضعف من treemap في استغلال المساحة وفي المقارنة. تجنّبه للتقرير المالي.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هرمية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دوائر تتداخل أو مقياس غير مساحي.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Treemap.</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56   الشلال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Waterfall Chart</w:t>
            </w:r>
          </w:p>
        </w:tc>
      </w:tr>
    </w:tbl>
    <w:p>
      <w:pPr>
        <w:spacing w:after="120" w:before="80"/>
        <w:jc w:val="center"/>
        <w:bidi w:val="1"/>
      </w:pPr>
      <w:r>
        <w:drawing>
          <wp:inline xmlns:a="http://schemas.openxmlformats.org/drawingml/2006/main" xmlns:pic="http://schemas.openxmlformats.org/drawingml/2006/picture">
            <wp:extent cx="5976000" cy="3327952"/>
            <wp:docPr id="73" name="Picture 73"/>
            <wp:cNvGraphicFramePr>
              <a:graphicFrameLocks noChangeAspect="1"/>
            </wp:cNvGraphicFramePr>
            <a:graphic>
              <a:graphicData uri="http://schemas.openxmlformats.org/drawingml/2006/picture">
                <pic:pic>
                  <pic:nvPicPr>
                    <pic:cNvPr id="0" name="waterfall.png"/>
                    <pic:cNvPicPr/>
                  </pic:nvPicPr>
                  <pic:blipFill>
                    <a:blip r:embed="rId85"/>
                    <a:stretch>
                      <a:fillRect/>
                    </a:stretch>
                  </pic:blipFill>
                  <pic:spPr>
                    <a:xfrm>
                      <a:off x="0" y="0"/>
                      <a:ext cx="5976000" cy="3327952"/>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يبدأ من قيمة ثم يجمع الزيادات والخصومات حتى الناتج. يشرح «كيف وصلنا إلى هنا».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من الربح الإجمالي إلى الصافي، تغيّر رأس المال، جسر بين عامين.</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ليس للتوزيع أو للزمن المستمر. رتب الخطوات بمنطق محاسبي لا تجميلي.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قيمة بداية + تدفقات موجبة/سالبة + ناتج.</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إخفاء إشارة الخطوة أو عدم تمييز الإجمالي بلون مختلف.</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أعمدة متباعدة إن كانت الخطوات مستقلة لا تراكمية.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57   القمع</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Funnel Chart</w:t>
            </w:r>
          </w:p>
        </w:tc>
      </w:tr>
    </w:tbl>
    <w:p>
      <w:pPr>
        <w:spacing w:after="120" w:before="80"/>
        <w:jc w:val="center"/>
        <w:bidi w:val="1"/>
      </w:pPr>
      <w:r>
        <w:drawing>
          <wp:inline xmlns:a="http://schemas.openxmlformats.org/drawingml/2006/main" xmlns:pic="http://schemas.openxmlformats.org/drawingml/2006/picture">
            <wp:extent cx="5976000" cy="4258173"/>
            <wp:docPr id="74" name="Picture 74"/>
            <wp:cNvGraphicFramePr>
              <a:graphicFrameLocks noChangeAspect="1"/>
            </wp:cNvGraphicFramePr>
            <a:graphic>
              <a:graphicData uri="http://schemas.openxmlformats.org/drawingml/2006/picture">
                <pic:pic>
                  <pic:nvPicPr>
                    <pic:cNvPr id="0" name="funnel.png"/>
                    <pic:cNvPicPr/>
                  </pic:nvPicPr>
                  <pic:blipFill>
                    <a:blip r:embed="rId86"/>
                    <a:stretch>
                      <a:fillRect/>
                    </a:stretch>
                  </pic:blipFill>
                  <pic:spPr>
                    <a:xfrm>
                      <a:off x="0" y="0"/>
                      <a:ext cx="5976000" cy="4258173"/>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مراحل تضيق. يُظهر التسرّب في مسار (مبيعات، توظيف، تسجيل).</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مسار تحويل بمراحل متتالية إلزامية. أين ينسحب الناس؟</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مضلّل إذا لم تكن المراحل مجموعة جزئية حقيقية من السابقة (كل زائر ≠ كل مشترٍ محتمَل بنفس التعريف). العرض الزخرفي للقمع يضخّم الفروق.</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مراحل متسلسلة + عدد.</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مراحل غير مرتّبة منطقياً أو بنسب غير مشروطة.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أعمدة أفقية للمقارنة الصادقة بين المراحل.</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58   الهرم الطبقي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Pyramid Chart</w:t>
            </w:r>
          </w:p>
        </w:tc>
      </w:tr>
    </w:tbl>
    <w:p>
      <w:pPr>
        <w:spacing w:after="120" w:before="80"/>
        <w:jc w:val="center"/>
        <w:bidi w:val="1"/>
      </w:pPr>
      <w:r>
        <w:drawing>
          <wp:inline xmlns:a="http://schemas.openxmlformats.org/drawingml/2006/main" xmlns:pic="http://schemas.openxmlformats.org/drawingml/2006/picture">
            <wp:extent cx="5976000" cy="4380902"/>
            <wp:docPr id="75" name="Picture 75"/>
            <wp:cNvGraphicFramePr>
              <a:graphicFrameLocks noChangeAspect="1"/>
            </wp:cNvGraphicFramePr>
            <a:graphic>
              <a:graphicData uri="http://schemas.openxmlformats.org/drawingml/2006/picture">
                <pic:pic>
                  <pic:nvPicPr>
                    <pic:cNvPr id="0" name="pyramid.png"/>
                    <pic:cNvPicPr/>
                  </pic:nvPicPr>
                  <pic:blipFill>
                    <a:blip r:embed="rId87"/>
                    <a:stretch>
                      <a:fillRect/>
                    </a:stretch>
                  </pic:blipFill>
                  <pic:spPr>
                    <a:xfrm>
                      <a:off x="0" y="0"/>
                      <a:ext cx="5976000" cy="4380902"/>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طبقات تتّسع للأسفل. يُستخدم للتراتبية المفاهيمية أكثر من البيانات الدقيقة.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نماذج (ماسلو، استراتيجية→تنفيذ) أو نسب قليلة جداً ذات ترتيب هرمي.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المساحة لا تُقرأ بدقة. لا تستخدمه بديلاً عن هرم سكّاني.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مستويات قليلة مرتّبة.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تسمية الهرم «بيانات» وهو في الحقيقة رسم مفهومي.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Funnel للمسارات، أعمدة للأرقام.</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76" name="Picture 76"/>
            <wp:cNvGraphicFramePr>
              <a:graphicFrameLocks noChangeAspect="1"/>
            </wp:cNvGraphicFramePr>
            <a:graphic>
              <a:graphicData uri="http://schemas.openxmlformats.org/drawingml/2006/picture">
                <pic:pic>
                  <pic:nvPicPr>
                    <pic:cNvPr id="0" name="d_spatial.png"/>
                    <pic:cNvPicPr/>
                  </pic:nvPicPr>
                  <pic:blipFill>
                    <a:blip r:embed="rId88"/>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59   الخريطة التظليلية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Choropleth Map</w:t>
            </w:r>
          </w:p>
        </w:tc>
      </w:tr>
    </w:tbl>
    <w:p>
      <w:pPr>
        <w:spacing w:after="120" w:before="80"/>
        <w:jc w:val="center"/>
        <w:bidi w:val="1"/>
      </w:pPr>
      <w:r>
        <w:drawing>
          <wp:inline xmlns:a="http://schemas.openxmlformats.org/drawingml/2006/main" xmlns:pic="http://schemas.openxmlformats.org/drawingml/2006/picture">
            <wp:extent cx="5976000" cy="3580610"/>
            <wp:docPr id="77" name="Picture 77"/>
            <wp:cNvGraphicFramePr>
              <a:graphicFrameLocks noChangeAspect="1"/>
            </wp:cNvGraphicFramePr>
            <a:graphic>
              <a:graphicData uri="http://schemas.openxmlformats.org/drawingml/2006/picture">
                <pic:pic>
                  <pic:nvPicPr>
                    <pic:cNvPr id="0" name="choropleth.png"/>
                    <pic:cNvPicPr/>
                  </pic:nvPicPr>
                  <pic:blipFill>
                    <a:blip r:embed="rId89"/>
                    <a:stretch>
                      <a:fillRect/>
                    </a:stretch>
                  </pic:blipFill>
                  <pic:spPr>
                    <a:xfrm>
                      <a:off x="0" y="0"/>
                      <a:ext cx="5976000" cy="358061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تلوين مناطق إدارية حسب معدّل أو نسبة. الأداة الأولى للقصة الجغرافية.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بطالة حسب المحافظة، نتائج انتخاب، كثافة ظاهرة. استخدم معدّلات لا مجاميع.</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المناطق الكبيرة تسيطر بصرياً حتى لو قلّ سكّانها. تجنّب تلوين المجاميع المطلقة (عدد الحالات بلا مقام).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حدود مناطق + معدّل.</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تدرّج غير متسلسل، أو تصنيف فئات يخفي التطرف.</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خريطة رموز نسبية للمجاميع، أو Cartogram لتصحيح المساحة.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60   خريطة الفقاعات</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Proportional Symbol Map</w:t>
            </w:r>
          </w:p>
        </w:tc>
      </w:tr>
    </w:tbl>
    <w:p>
      <w:pPr>
        <w:spacing w:after="120" w:before="80"/>
        <w:jc w:val="center"/>
        <w:bidi w:val="1"/>
      </w:pPr>
      <w:r>
        <w:drawing>
          <wp:inline xmlns:a="http://schemas.openxmlformats.org/drawingml/2006/main" xmlns:pic="http://schemas.openxmlformats.org/drawingml/2006/picture">
            <wp:extent cx="5976000" cy="3729131"/>
            <wp:docPr id="78" name="Picture 78"/>
            <wp:cNvGraphicFramePr>
              <a:graphicFrameLocks noChangeAspect="1"/>
            </wp:cNvGraphicFramePr>
            <a:graphic>
              <a:graphicData uri="http://schemas.openxmlformats.org/drawingml/2006/picture">
                <pic:pic>
                  <pic:nvPicPr>
                    <pic:cNvPr id="0" name="bubble_map.png"/>
                    <pic:cNvPicPr/>
                  </pic:nvPicPr>
                  <pic:blipFill>
                    <a:blip r:embed="rId90"/>
                    <a:stretch>
                      <a:fillRect/>
                    </a:stretch>
                  </pic:blipFill>
                  <pic:spPr>
                    <a:xfrm>
                      <a:off x="0" y="0"/>
                      <a:ext cx="5976000" cy="3729131"/>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دوائر على الموقع؛ المساحة = الحجم. لا تظلم المناطق الصغيرة جغرافياً.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عدد السكان في مدن، مبيعات فروع، إصابات مطلقة على نقاط.</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تراكب الفقاعات في المدن المتقاربة. لا تستخدمها لمعدّلات (choropleth أفضل).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إحداثيات + قيمة موجبة.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نصف قطر ∝ القيمة بدل √القيمة.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Dot density للتوزيع الخام.</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61   كثافة النقاط</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Dot Density Map</w:t>
            </w:r>
          </w:p>
        </w:tc>
      </w:tr>
    </w:tbl>
    <w:p>
      <w:pPr>
        <w:spacing w:after="120" w:before="80"/>
        <w:jc w:val="center"/>
        <w:bidi w:val="1"/>
      </w:pPr>
      <w:r>
        <w:drawing>
          <wp:inline xmlns:a="http://schemas.openxmlformats.org/drawingml/2006/main" xmlns:pic="http://schemas.openxmlformats.org/drawingml/2006/picture">
            <wp:extent cx="5976000" cy="3769374"/>
            <wp:docPr id="79" name="Picture 79"/>
            <wp:cNvGraphicFramePr>
              <a:graphicFrameLocks noChangeAspect="1"/>
            </wp:cNvGraphicFramePr>
            <a:graphic>
              <a:graphicData uri="http://schemas.openxmlformats.org/drawingml/2006/picture">
                <pic:pic>
                  <pic:nvPicPr>
                    <pic:cNvPr id="0" name="dot_density.png"/>
                    <pic:cNvPicPr/>
                  </pic:nvPicPr>
                  <pic:blipFill>
                    <a:blip r:embed="rId91"/>
                    <a:stretch>
                      <a:fillRect/>
                    </a:stretch>
                  </pic:blipFill>
                  <pic:spPr>
                    <a:xfrm>
                      <a:off x="0" y="0"/>
                      <a:ext cx="5976000" cy="3769374"/>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كل نقطة = وحدة (شخص، منشأة). الكثافة البصرية = الكثافة الحقيقية.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توزيع سكّان، محلات، حوادث داخل مدينة. قصّة «أين يتجمّعون».</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موضع النقطة داخل المنطقة غالباً عشوائي؛ لا تُقرأ كعنوان دقيق. مقياس النقطة يجب الإفصاح عنه.</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نقاط أو تعداد يُحوَّل لنقاط.</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نقطة = 1 في مكان و=100 في آخر دون مفتاح.</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Choropleth للمعدّلات الإدارية.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62   خريطة الربط</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Connection / Flow Map</w:t>
            </w:r>
          </w:p>
        </w:tc>
      </w:tr>
    </w:tbl>
    <w:p>
      <w:pPr>
        <w:spacing w:after="120" w:before="80"/>
        <w:jc w:val="center"/>
        <w:bidi w:val="1"/>
      </w:pPr>
      <w:r>
        <w:drawing>
          <wp:inline xmlns:a="http://schemas.openxmlformats.org/drawingml/2006/main" xmlns:pic="http://schemas.openxmlformats.org/drawingml/2006/picture">
            <wp:extent cx="5976000" cy="3923636"/>
            <wp:docPr id="80" name="Picture 80"/>
            <wp:cNvGraphicFramePr>
              <a:graphicFrameLocks noChangeAspect="1"/>
            </wp:cNvGraphicFramePr>
            <a:graphic>
              <a:graphicData uri="http://schemas.openxmlformats.org/drawingml/2006/picture">
                <pic:pic>
                  <pic:nvPicPr>
                    <pic:cNvPr id="0" name="connection_map.png"/>
                    <pic:cNvPicPr/>
                  </pic:nvPicPr>
                  <pic:blipFill>
                    <a:blip r:embed="rId92"/>
                    <a:stretch>
                      <a:fillRect/>
                    </a:stretch>
                  </pic:blipFill>
                  <pic:spPr>
                    <a:xfrm>
                      <a:off x="0" y="0"/>
                      <a:ext cx="5976000" cy="3923636"/>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أقواس أو خطوط بين مواقع. الحركة أو العلاقة فوق الجغرافيا.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رحلات جوية، تحويلات مالية، هجرة، كابلات إنترنت.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ازدحام الخطوط يخفي. سُمك الخط يجب أن يرمز للكم بوضوح.</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أزواج مواقع + شدّة اختيارية.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خطوط مستقيمة طويلة تقطع الخريطة بلا تجميع.</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Sankey إذا كانت الجغرافيا ثانوية والأهم التدفق.</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81" name="Picture 81"/>
            <wp:cNvGraphicFramePr>
              <a:graphicFrameLocks noChangeAspect="1"/>
            </wp:cNvGraphicFramePr>
            <a:graphic>
              <a:graphicData uri="http://schemas.openxmlformats.org/drawingml/2006/picture">
                <pic:pic>
                  <pic:nvPicPr>
                    <pic:cNvPr id="0" name="d_flow.png"/>
                    <pic:cNvPicPr/>
                  </pic:nvPicPr>
                  <pic:blipFill>
                    <a:blip r:embed="rId93"/>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63   سانكي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Sankey Diagram</w:t>
            </w:r>
          </w:p>
        </w:tc>
      </w:tr>
    </w:tbl>
    <w:p>
      <w:pPr>
        <w:spacing w:after="120" w:before="80"/>
        <w:jc w:val="center"/>
        <w:bidi w:val="1"/>
      </w:pPr>
      <w:r>
        <w:drawing>
          <wp:inline xmlns:a="http://schemas.openxmlformats.org/drawingml/2006/main" xmlns:pic="http://schemas.openxmlformats.org/drawingml/2006/picture">
            <wp:extent cx="5976000" cy="3641625"/>
            <wp:docPr id="82" name="Picture 82"/>
            <wp:cNvGraphicFramePr>
              <a:graphicFrameLocks noChangeAspect="1"/>
            </wp:cNvGraphicFramePr>
            <a:graphic>
              <a:graphicData uri="http://schemas.openxmlformats.org/drawingml/2006/picture">
                <pic:pic>
                  <pic:nvPicPr>
                    <pic:cNvPr id="0" name="sankey.png"/>
                    <pic:cNvPicPr/>
                  </pic:nvPicPr>
                  <pic:blipFill>
                    <a:blip r:embed="rId94"/>
                    <a:stretch>
                      <a:fillRect/>
                    </a:stretch>
                  </pic:blipFill>
                  <pic:spPr>
                    <a:xfrm>
                      <a:off x="0" y="0"/>
                      <a:ext cx="5976000" cy="364162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تدفقات يتناسب عرضها مع الكمية. من أصدق رسوم الحركة.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طاقة، ميزانية تتحوّل بين أبواب، مسار مستخدمين، سلاسل توريد.</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دورات مغلقة معقّدة. لا تستخدمه لمقارنة فئات مستقلة بلا حركة.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مصدر → هدف + قيمة تدفق.</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عقد بلا تسميات أو ألوان لا تتبع المصدر.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Alluvial لتدفّق عبر مراحل فئوية متعددة.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64   الوتر</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Chord Diagram</w:t>
            </w:r>
          </w:p>
        </w:tc>
      </w:tr>
    </w:tbl>
    <w:p>
      <w:pPr>
        <w:spacing w:after="120" w:before="80"/>
        <w:jc w:val="center"/>
        <w:bidi w:val="1"/>
      </w:pPr>
      <w:r>
        <w:drawing>
          <wp:inline xmlns:a="http://schemas.openxmlformats.org/drawingml/2006/main" xmlns:pic="http://schemas.openxmlformats.org/drawingml/2006/picture">
            <wp:extent cx="5976000" cy="5976000"/>
            <wp:docPr id="83" name="Picture 83"/>
            <wp:cNvGraphicFramePr>
              <a:graphicFrameLocks noChangeAspect="1"/>
            </wp:cNvGraphicFramePr>
            <a:graphic>
              <a:graphicData uri="http://schemas.openxmlformats.org/drawingml/2006/picture">
                <pic:pic>
                  <pic:nvPicPr>
                    <pic:cNvPr id="0" name="chord.png"/>
                    <pic:cNvPicPr/>
                  </pic:nvPicPr>
                  <pic:blipFill>
                    <a:blip r:embed="rId95"/>
                    <a:stretch>
                      <a:fillRect/>
                    </a:stretch>
                  </pic:blipFill>
                  <pic:spPr>
                    <a:xfrm>
                      <a:off x="0" y="0"/>
                      <a:ext cx="5976000" cy="59760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دائرة ووصلات بين قطاعات. العلاقات المتبادلة (من–إلى).</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هجرة بين دول، تبادل تجاري، مراسلات، تدفق مكالمات.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سرعان ما يصبح زخرفة. صعب قراءة القيم الدقيقة. تجنّبه إن أمكن جدول أو Sankey.</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مصفوفة من–إلى.</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وصلات كثيرة بنفس السُمك.</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Heatmap للمصفوفة، Sankey للتدفق الاتجاهي الواضح.</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65   الشبكة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Network Graph</w:t>
            </w:r>
          </w:p>
        </w:tc>
      </w:tr>
    </w:tbl>
    <w:p>
      <w:pPr>
        <w:spacing w:after="120" w:before="80"/>
        <w:jc w:val="center"/>
        <w:bidi w:val="1"/>
      </w:pPr>
      <w:r>
        <w:drawing>
          <wp:inline xmlns:a="http://schemas.openxmlformats.org/drawingml/2006/main" xmlns:pic="http://schemas.openxmlformats.org/drawingml/2006/picture">
            <wp:extent cx="5976000" cy="4323683"/>
            <wp:docPr id="84" name="Picture 84"/>
            <wp:cNvGraphicFramePr>
              <a:graphicFrameLocks noChangeAspect="1"/>
            </wp:cNvGraphicFramePr>
            <a:graphic>
              <a:graphicData uri="http://schemas.openxmlformats.org/drawingml/2006/picture">
                <pic:pic>
                  <pic:nvPicPr>
                    <pic:cNvPr id="0" name="network.png"/>
                    <pic:cNvPicPr/>
                  </pic:nvPicPr>
                  <pic:blipFill>
                    <a:blip r:embed="rId96"/>
                    <a:stretch>
                      <a:fillRect/>
                    </a:stretch>
                  </pic:blipFill>
                  <pic:spPr>
                    <a:xfrm>
                      <a:off x="0" y="0"/>
                      <a:ext cx="5976000" cy="4323683"/>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عقد وحواف. البنية: من المركزي؟ من المعزول؟ أين العناقيد؟</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شبكات اجتماعية، بنية تحتية، اقتباس علمي، احتيال حلقات.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العقد الكثيرة بلا تخطيط (force-directed) تصبح «كرة شعر». ليست لأرقام مجرّدة بلا علاقات.</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قائمة عقد + حواف (+ أوزان).</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حجم عقدة لا يعني شيئاً أو يعني ثلاثة أشياء معاً.</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Arc للترتيب الخطي، Hive للشبكات المركّبة، مصفوفة تجاور للأعداد الكبيرة.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66   مخطط الأقواس</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Arc Diagram</w:t>
            </w:r>
          </w:p>
        </w:tc>
      </w:tr>
    </w:tbl>
    <w:p>
      <w:pPr>
        <w:spacing w:after="120" w:before="80"/>
        <w:jc w:val="center"/>
        <w:bidi w:val="1"/>
      </w:pPr>
      <w:r>
        <w:drawing>
          <wp:inline xmlns:a="http://schemas.openxmlformats.org/drawingml/2006/main" xmlns:pic="http://schemas.openxmlformats.org/drawingml/2006/picture">
            <wp:extent cx="5976000" cy="2919525"/>
            <wp:docPr id="85" name="Picture 85"/>
            <wp:cNvGraphicFramePr>
              <a:graphicFrameLocks noChangeAspect="1"/>
            </wp:cNvGraphicFramePr>
            <a:graphic>
              <a:graphicData uri="http://schemas.openxmlformats.org/drawingml/2006/picture">
                <pic:pic>
                  <pic:nvPicPr>
                    <pic:cNvPr id="0" name="arc.png"/>
                    <pic:cNvPicPr/>
                  </pic:nvPicPr>
                  <pic:blipFill>
                    <a:blip r:embed="rId97"/>
                    <a:stretch>
                      <a:fillRect/>
                    </a:stretch>
                  </pic:blipFill>
                  <pic:spPr>
                    <a:xfrm>
                      <a:off x="0" y="0"/>
                      <a:ext cx="5976000" cy="291952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عقد على خط وأقواس للروابط. يحافظ على ترتيب (زمني أو أبجدي).</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تفاعلات شخصيات في نص، اتصالات حسب الزمن، تسلسل جيني.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الأقواس المتراكبة صعبة. ليس بديلاً كاملاً عن الشبكة المكانية.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عقد مرتّبة + روابط.</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ترتيب عقد عشوائي يُضيّع ميزة القوس.</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شبكة حرّة إن لم يكن للترتيب معنى.</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67   الطمي / ألوفيال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Alluvial Diagram</w:t>
            </w:r>
          </w:p>
        </w:tc>
      </w:tr>
    </w:tbl>
    <w:p>
      <w:pPr>
        <w:spacing w:after="120" w:before="80"/>
        <w:jc w:val="center"/>
        <w:bidi w:val="1"/>
      </w:pPr>
      <w:r>
        <w:drawing>
          <wp:inline xmlns:a="http://schemas.openxmlformats.org/drawingml/2006/main" xmlns:pic="http://schemas.openxmlformats.org/drawingml/2006/picture">
            <wp:extent cx="5976000" cy="3731014"/>
            <wp:docPr id="86" name="Picture 86"/>
            <wp:cNvGraphicFramePr>
              <a:graphicFrameLocks noChangeAspect="1"/>
            </wp:cNvGraphicFramePr>
            <a:graphic>
              <a:graphicData uri="http://schemas.openxmlformats.org/drawingml/2006/picture">
                <pic:pic>
                  <pic:nvPicPr>
                    <pic:cNvPr id="0" name="alluvial.png"/>
                    <pic:cNvPicPr/>
                  </pic:nvPicPr>
                  <pic:blipFill>
                    <a:blip r:embed="rId98"/>
                    <a:stretch>
                      <a:fillRect/>
                    </a:stretch>
                  </pic:blipFill>
                  <pic:spPr>
                    <a:xfrm>
                      <a:off x="0" y="0"/>
                      <a:ext cx="5976000" cy="3731014"/>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تدفق عبر محاور فئوية متتالية (سنة، ثم فئة، ثم نتيجة). قريب من Sankey بمراحل.</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كيف تتحرّك شرائح ناخبين بين انتخابات، مسار طلاب، تغيّر شرائح زبائن.</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مراحل كثيرة جداً. لا تستخدمه لبيانات ليست تدفقاً حقيقياً لنفس الوحدات.</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وحدات تُصنَّف عبر مراحل.</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ألوان لا تتبع الكيان عبر المراحل.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Sankey لمصدر-هدف واحد، stacked 100% إن غابت الهوية الفردية.</w:t>
            </w:r>
          </w:p>
        </w:tc>
      </w:tr>
    </w:tbl>
    <w:p>
      <w:pPr>
        <w:bidi w:val="1"/>
        <w:spacing w:after="0" w:before="0"/>
        <w:jc w:val="right"/>
      </w:pPr>
      <w:r>
        <w:br w:type="page"/>
      </w:r>
    </w:p>
    <w:p>
      <w:pPr>
        <w:spacing w:before="0" w:after="0"/>
        <w:jc w:val="center"/>
        <w:bidi w:val="1"/>
      </w:pPr>
      <w:r>
        <w:drawing>
          <wp:inline xmlns:a="http://schemas.openxmlformats.org/drawingml/2006/main" xmlns:pic="http://schemas.openxmlformats.org/drawingml/2006/picture">
            <wp:extent cx="6408000" cy="9060924"/>
            <wp:docPr id="87" name="Picture 87"/>
            <wp:cNvGraphicFramePr>
              <a:graphicFrameLocks noChangeAspect="1"/>
            </wp:cNvGraphicFramePr>
            <a:graphic>
              <a:graphicData uri="http://schemas.openxmlformats.org/drawingml/2006/picture">
                <pic:pic>
                  <pic:nvPicPr>
                    <pic:cNvPr id="0" name="d_special.png"/>
                    <pic:cNvPicPr/>
                  </pic:nvPicPr>
                  <pic:blipFill>
                    <a:blip r:embed="rId99"/>
                    <a:stretch>
                      <a:fillRect/>
                    </a:stretch>
                  </pic:blipFill>
                  <pic:spPr>
                    <a:xfrm>
                      <a:off x="0" y="0"/>
                      <a:ext cx="6408000" cy="9060924"/>
                    </a:xfrm>
                    <a:prstGeom prst="rect"/>
                  </pic:spPr>
                </pic:pic>
              </a:graphicData>
            </a:graphic>
          </wp:inline>
        </w:drawing>
      </w:r>
    </w:p>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68   الشجرة التجميعية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Dendrogram</w:t>
            </w:r>
          </w:p>
        </w:tc>
      </w:tr>
    </w:tbl>
    <w:p>
      <w:pPr>
        <w:spacing w:after="120" w:before="80"/>
        <w:jc w:val="center"/>
        <w:bidi w:val="1"/>
      </w:pPr>
      <w:r>
        <w:drawing>
          <wp:inline xmlns:a="http://schemas.openxmlformats.org/drawingml/2006/main" xmlns:pic="http://schemas.openxmlformats.org/drawingml/2006/picture">
            <wp:extent cx="5976000" cy="3584324"/>
            <wp:docPr id="88" name="Picture 88"/>
            <wp:cNvGraphicFramePr>
              <a:graphicFrameLocks noChangeAspect="1"/>
            </wp:cNvGraphicFramePr>
            <a:graphic>
              <a:graphicData uri="http://schemas.openxmlformats.org/drawingml/2006/picture">
                <pic:pic>
                  <pic:nvPicPr>
                    <pic:cNvPr id="0" name="dendrogram.png"/>
                    <pic:cNvPicPr/>
                  </pic:nvPicPr>
                  <pic:blipFill>
                    <a:blip r:embed="rId100"/>
                    <a:stretch>
                      <a:fillRect/>
                    </a:stretch>
                  </pic:blipFill>
                  <pic:spPr>
                    <a:xfrm>
                      <a:off x="0" y="0"/>
                      <a:ext cx="5976000" cy="3584324"/>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شجرة عنقودية: الارتفاع = مسافة الدمج. نتيجة تحليل تجميع هرمي.</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تصنيف مستندات، جينات، زبائن، منتجات حسب التشابه.</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شكل الشجرة يعتمد على مقياس المسافة وطريقة الربط؛ أفصح عنهما. ليس رسماً تنظيمياً إدارياً.</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مصفوفة مسافات أو متغيرات للتجميع.</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قطع الشجرة عند ارتفاع اعتباطي بلا تبرير.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Heatmap + شجرة (clustermap) للمتغيرات.</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69   الأعمدة الجليدية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Icicle Chart</w:t>
            </w:r>
          </w:p>
        </w:tc>
      </w:tr>
    </w:tbl>
    <w:p>
      <w:pPr>
        <w:spacing w:after="120" w:before="80"/>
        <w:jc w:val="center"/>
        <w:bidi w:val="1"/>
      </w:pPr>
      <w:r>
        <w:drawing>
          <wp:inline xmlns:a="http://schemas.openxmlformats.org/drawingml/2006/main" xmlns:pic="http://schemas.openxmlformats.org/drawingml/2006/picture">
            <wp:extent cx="5976000" cy="3437635"/>
            <wp:docPr id="89" name="Picture 89"/>
            <wp:cNvGraphicFramePr>
              <a:graphicFrameLocks noChangeAspect="1"/>
            </wp:cNvGraphicFramePr>
            <a:graphic>
              <a:graphicData uri="http://schemas.openxmlformats.org/drawingml/2006/picture">
                <pic:pic>
                  <pic:nvPicPr>
                    <pic:cNvPr id="0" name="icicle.png"/>
                    <pic:cNvPicPr/>
                  </pic:nvPicPr>
                  <pic:blipFill>
                    <a:blip r:embed="rId101"/>
                    <a:stretch>
                      <a:fillRect/>
                    </a:stretch>
                  </pic:blipFill>
                  <pic:spPr>
                    <a:xfrm>
                      <a:off x="0" y="0"/>
                      <a:ext cx="5976000" cy="3437635"/>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مستطيلات متسلسلة للمستويات الهرمية، تُقرأ من الجذر نزولاً.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بديل مستطيل لـ Sunburst: مسارات ملفات، ميزانية، تصنيف.</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العرض يستهلك عرض الصفحة. التسميات تضيق في الأوراق.</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هرمية + قيمة اختيارية.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عدم محاذاة الأبناء تحت الآباء.</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Treemap أو Sunburst.</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70   الرادار / العنكبوت</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Radar / Spider Chart</w:t>
            </w:r>
          </w:p>
        </w:tc>
      </w:tr>
    </w:tbl>
    <w:p>
      <w:pPr>
        <w:spacing w:after="120" w:before="80"/>
        <w:jc w:val="center"/>
        <w:bidi w:val="1"/>
      </w:pPr>
      <w:r>
        <w:drawing>
          <wp:inline xmlns:a="http://schemas.openxmlformats.org/drawingml/2006/main" xmlns:pic="http://schemas.openxmlformats.org/drawingml/2006/picture">
            <wp:extent cx="5976000" cy="5120214"/>
            <wp:docPr id="90" name="Picture 90"/>
            <wp:cNvGraphicFramePr>
              <a:graphicFrameLocks noChangeAspect="1"/>
            </wp:cNvGraphicFramePr>
            <a:graphic>
              <a:graphicData uri="http://schemas.openxmlformats.org/drawingml/2006/picture">
                <pic:pic>
                  <pic:nvPicPr>
                    <pic:cNvPr id="0" name="radar.png"/>
                    <pic:cNvPicPr/>
                  </pic:nvPicPr>
                  <pic:blipFill>
                    <a:blip r:embed="rId102"/>
                    <a:stretch>
                      <a:fillRect/>
                    </a:stretch>
                  </pic:blipFill>
                  <pic:spPr>
                    <a:xfrm>
                      <a:off x="0" y="0"/>
                      <a:ext cx="5976000" cy="5120214"/>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محاور شعاعية لعدّة معايير. شكل الكيان يُقارن بصرياً.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ملف لاعب، تقييم منتج بمعايير 5–8، مقارنة بديلين أو ثلاثة.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ترتيب المحاور يغيّر الشكل. المساحة الداخلية مضلّلة. لا تقارن 10 كيانات على رادار واحد.</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كيان × معايير كمّية موحّدة المقياس.</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مقاييس مختلفة المدى على أشعة واحدة.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إحداثيات متوازية أو جدول نقطي أدق.</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71   وردة نايتنجيل</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Nightingale Rose / Polar Area</w:t>
            </w:r>
          </w:p>
        </w:tc>
      </w:tr>
    </w:tbl>
    <w:p>
      <w:pPr>
        <w:spacing w:after="120" w:before="80"/>
        <w:jc w:val="center"/>
        <w:bidi w:val="1"/>
      </w:pPr>
      <w:r>
        <w:drawing>
          <wp:inline xmlns:a="http://schemas.openxmlformats.org/drawingml/2006/main" xmlns:pic="http://schemas.openxmlformats.org/drawingml/2006/picture">
            <wp:extent cx="5976000" cy="6017214"/>
            <wp:docPr id="91" name="Picture 91"/>
            <wp:cNvGraphicFramePr>
              <a:graphicFrameLocks noChangeAspect="1"/>
            </wp:cNvGraphicFramePr>
            <a:graphic>
              <a:graphicData uri="http://schemas.openxmlformats.org/drawingml/2006/picture">
                <pic:pic>
                  <pic:nvPicPr>
                    <pic:cNvPr id="0" name="nightingale.png"/>
                    <pic:cNvPicPr/>
                  </pic:nvPicPr>
                  <pic:blipFill>
                    <a:blip r:embed="rId103"/>
                    <a:stretch>
                      <a:fillRect/>
                    </a:stretch>
                  </pic:blipFill>
                  <pic:spPr>
                    <a:xfrm>
                      <a:off x="0" y="0"/>
                      <a:ext cx="5976000" cy="6017214"/>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قطاعات قطبية يتناسب نصف قطرها (أو مساحتها) مع القيمة. تاريخياً لفلورنس نايتنجيل.</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ظواهر دورية (أشهر السنة) تريد مظهراً قوياً، أو إحياء تاريخي.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المساحة تكبر مع مربع نصف القطر؛ المقارنة صعبة. تجنّبه للتحليل الدقيق.</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دورية + قيمة.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خلطه مع Pie (الزاوية ثابتة هنا غالباً والعكس هو الطول).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عمود شهري أو Radial bar بحذر.</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72   غانت</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Gantt Chart</w:t>
            </w:r>
          </w:p>
        </w:tc>
      </w:tr>
    </w:tbl>
    <w:p>
      <w:pPr>
        <w:spacing w:after="120" w:before="80"/>
        <w:jc w:val="center"/>
        <w:bidi w:val="1"/>
      </w:pPr>
      <w:r>
        <w:drawing>
          <wp:inline xmlns:a="http://schemas.openxmlformats.org/drawingml/2006/main" xmlns:pic="http://schemas.openxmlformats.org/drawingml/2006/picture">
            <wp:extent cx="5976000" cy="3753369"/>
            <wp:docPr id="92" name="Picture 92"/>
            <wp:cNvGraphicFramePr>
              <a:graphicFrameLocks noChangeAspect="1"/>
            </wp:cNvGraphicFramePr>
            <a:graphic>
              <a:graphicData uri="http://schemas.openxmlformats.org/drawingml/2006/picture">
                <pic:pic>
                  <pic:nvPicPr>
                    <pic:cNvPr id="0" name="gantt.png"/>
                    <pic:cNvPicPr/>
                  </pic:nvPicPr>
                  <pic:blipFill>
                    <a:blip r:embed="rId104"/>
                    <a:stretch>
                      <a:fillRect/>
                    </a:stretch>
                  </pic:blipFill>
                  <pic:spPr>
                    <a:xfrm>
                      <a:off x="0" y="0"/>
                      <a:ext cx="5976000" cy="3753369"/>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أشرطة أفقية لمهام على محور زمن. لغة إدارة المشاريع.</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خطة مشروع، اعتماديات تقريبية، جدول إنتاج.</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ليس لتحليل بيانات إحصائية. الازدحام مع 100 مهمة يقتل الفائدة دون تجميع.</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مهام + بداية + مدة (+ مورد).</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إغفال الاعتماديات الحرجة أو مقياس زمن غير خطّي.</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Timeline للأحداث لا للمهام.</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73   الخط الزمني</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Timeline</w:t>
            </w:r>
          </w:p>
        </w:tc>
      </w:tr>
    </w:tbl>
    <w:p>
      <w:pPr>
        <w:spacing w:after="120" w:before="80"/>
        <w:jc w:val="center"/>
        <w:bidi w:val="1"/>
      </w:pPr>
      <w:r>
        <w:drawing>
          <wp:inline xmlns:a="http://schemas.openxmlformats.org/drawingml/2006/main" xmlns:pic="http://schemas.openxmlformats.org/drawingml/2006/picture">
            <wp:extent cx="5976000" cy="2776350"/>
            <wp:docPr id="93" name="Picture 93"/>
            <wp:cNvGraphicFramePr>
              <a:graphicFrameLocks noChangeAspect="1"/>
            </wp:cNvGraphicFramePr>
            <a:graphic>
              <a:graphicData uri="http://schemas.openxmlformats.org/drawingml/2006/picture">
                <pic:pic>
                  <pic:nvPicPr>
                    <pic:cNvPr id="0" name="timeline.png"/>
                    <pic:cNvPicPr/>
                  </pic:nvPicPr>
                  <pic:blipFill>
                    <a:blip r:embed="rId105"/>
                    <a:stretch>
                      <a:fillRect/>
                    </a:stretch>
                  </pic:blipFill>
                  <pic:spPr>
                    <a:xfrm>
                      <a:off x="0" y="0"/>
                      <a:ext cx="5976000" cy="277635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أحداث على محور زمن. سرد لا إحصاء.</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تاريخ شركة، أزمة، تشريع. نقاط تحول.</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يستخدم لتوزيع كمّي. كثرة الأحداث بلا طبقات تُربك.</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أحداث + تواريخ.</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مسافات بصرية لا تطابق المسافات الزمنية.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Gantt للمهام ذات المدة.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74   فين</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Venn Diagram</w:t>
            </w:r>
          </w:p>
        </w:tc>
      </w:tr>
    </w:tbl>
    <w:p>
      <w:pPr>
        <w:spacing w:after="120" w:before="80"/>
        <w:jc w:val="center"/>
        <w:bidi w:val="1"/>
      </w:pPr>
      <w:r>
        <w:drawing>
          <wp:inline xmlns:a="http://schemas.openxmlformats.org/drawingml/2006/main" xmlns:pic="http://schemas.openxmlformats.org/drawingml/2006/picture">
            <wp:extent cx="5976000" cy="5103591"/>
            <wp:docPr id="94" name="Picture 94"/>
            <wp:cNvGraphicFramePr>
              <a:graphicFrameLocks noChangeAspect="1"/>
            </wp:cNvGraphicFramePr>
            <a:graphic>
              <a:graphicData uri="http://schemas.openxmlformats.org/drawingml/2006/picture">
                <pic:pic>
                  <pic:nvPicPr>
                    <pic:cNvPr id="0" name="venn.png"/>
                    <pic:cNvPicPr/>
                  </pic:nvPicPr>
                  <pic:blipFill>
                    <a:blip r:embed="rId106"/>
                    <a:stretch>
                      <a:fillRect/>
                    </a:stretch>
                  </pic:blipFill>
                  <pic:spPr>
                    <a:xfrm>
                      <a:off x="0" y="0"/>
                      <a:ext cx="5976000" cy="5103591"/>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تداخل مجموعات. مفهومي أكثر منه كمّي دقيق (إلا مع مساحات مضبوطة حسابياً).</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شرح تقاطع شرائح، منطق مجموعات، رسائل تسويق بسيطة.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3 مجموعات حدّ مريح. المساحة نادراً ما تطابق العدد. لا تستخدمه لأرقام دقيقة.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عضوية مجموعات.</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دوائر بحجم واحد لمجموعات مختلفة الحجم جداً دون التنبيه.</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جدول تقاطع أو UpSet لعدة مجموعات.</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75   باريتو</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Pareto Chart</w:t>
            </w:r>
          </w:p>
        </w:tc>
      </w:tr>
    </w:tbl>
    <w:p>
      <w:pPr>
        <w:spacing w:after="120" w:before="80"/>
        <w:jc w:val="center"/>
        <w:bidi w:val="1"/>
      </w:pPr>
      <w:r>
        <w:drawing>
          <wp:inline xmlns:a="http://schemas.openxmlformats.org/drawingml/2006/main" xmlns:pic="http://schemas.openxmlformats.org/drawingml/2006/picture">
            <wp:extent cx="5976000" cy="3134030"/>
            <wp:docPr id="95" name="Picture 95"/>
            <wp:cNvGraphicFramePr>
              <a:graphicFrameLocks noChangeAspect="1"/>
            </wp:cNvGraphicFramePr>
            <a:graphic>
              <a:graphicData uri="http://schemas.openxmlformats.org/drawingml/2006/picture">
                <pic:pic>
                  <pic:nvPicPr>
                    <pic:cNvPr id="0" name="pareto.png"/>
                    <pic:cNvPicPr/>
                  </pic:nvPicPr>
                  <pic:blipFill>
                    <a:blip r:embed="rId107"/>
                    <a:stretch>
                      <a:fillRect/>
                    </a:stretch>
                  </pic:blipFill>
                  <pic:spPr>
                    <a:xfrm>
                      <a:off x="0" y="0"/>
                      <a:ext cx="5976000" cy="313403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أعمدة مرتّبة تنازلياً + منحنى تراكمي. مبدأ 80/20.</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عيوب جودة، مصادر شكاوى، أسباب تأخير: أين نركّز الجهد؟</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تفرض 80/20 إن لم يكن في البيانات. المحور المزدوج يحتاج قراءة حذرة.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فئات + تكرار، بعد الفرز.</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فئات متبقية كبيرة تُرمى في «أخرى» دون الإفصاح.</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أعمدة مرتّبة إن لم يلزم التراكمي.</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76   المقياس / العدّاد</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Gauge Chart</w:t>
            </w:r>
          </w:p>
        </w:tc>
      </w:tr>
    </w:tbl>
    <w:p>
      <w:pPr>
        <w:spacing w:after="120" w:before="80"/>
        <w:jc w:val="center"/>
        <w:bidi w:val="1"/>
      </w:pPr>
      <w:r>
        <w:drawing>
          <wp:inline xmlns:a="http://schemas.openxmlformats.org/drawingml/2006/main" xmlns:pic="http://schemas.openxmlformats.org/drawingml/2006/picture">
            <wp:extent cx="5976000" cy="3399880"/>
            <wp:docPr id="96" name="Picture 96"/>
            <wp:cNvGraphicFramePr>
              <a:graphicFrameLocks noChangeAspect="1"/>
            </wp:cNvGraphicFramePr>
            <a:graphic>
              <a:graphicData uri="http://schemas.openxmlformats.org/drawingml/2006/picture">
                <pic:pic>
                  <pic:nvPicPr>
                    <pic:cNvPr id="0" name="gauge.png"/>
                    <pic:cNvPicPr/>
                  </pic:nvPicPr>
                  <pic:blipFill>
                    <a:blip r:embed="rId108"/>
                    <a:stretch>
                      <a:fillRect/>
                    </a:stretch>
                  </pic:blipFill>
                  <pic:spPr>
                    <a:xfrm>
                      <a:off x="0" y="0"/>
                      <a:ext cx="5976000" cy="339988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إبرة على قوس. مظهر لوحة سيارة لمؤشر واحد.</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بطاقة KPI واحدة تُمسح بالعين في نصف ثانية (صحّة خدمة).</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يسرق مساحة كبيرة لرقم واحد. عشرات العدادات أسوأ من جدول. تجنّبه في التقارير الجادّة.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قيمة واحدة + حد أدنى/أقصى (+ هدف).</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ألوان أحمر-أصفر-أخضر دون عتبات حقيقية.</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Bullet graph: نفس المعلومة في عُشر المساحة.</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77   أعمدة الخطأ</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Error Bars</w:t>
            </w:r>
          </w:p>
        </w:tc>
      </w:tr>
    </w:tbl>
    <w:p>
      <w:pPr>
        <w:spacing w:after="120" w:before="80"/>
        <w:jc w:val="center"/>
        <w:bidi w:val="1"/>
      </w:pPr>
      <w:r>
        <w:drawing>
          <wp:inline xmlns:a="http://schemas.openxmlformats.org/drawingml/2006/main" xmlns:pic="http://schemas.openxmlformats.org/drawingml/2006/picture">
            <wp:extent cx="5976000" cy="3361500"/>
            <wp:docPr id="97" name="Picture 97"/>
            <wp:cNvGraphicFramePr>
              <a:graphicFrameLocks noChangeAspect="1"/>
            </wp:cNvGraphicFramePr>
            <a:graphic>
              <a:graphicData uri="http://schemas.openxmlformats.org/drawingml/2006/picture">
                <pic:pic>
                  <pic:nvPicPr>
                    <pic:cNvPr id="0" name="errorbar.png"/>
                    <pic:cNvPicPr/>
                  </pic:nvPicPr>
                  <pic:blipFill>
                    <a:blip r:embed="rId109"/>
                    <a:stretch>
                      <a:fillRect/>
                    </a:stretch>
                  </pic:blipFill>
                  <pic:spPr>
                    <a:xfrm>
                      <a:off x="0" y="0"/>
                      <a:ext cx="5976000" cy="336150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علامة لمدى عدم اليقين (انحراف معياري، خطأ معياري، أو فترة ثقة). أمانة علمية.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نتائج تجارب، استطلاعات، أي متوسط يُعرض للجمهور العلمي.</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يجب الإفصاح: ما الذي تمثّله العارضة؟ خلط SD وCI يضلّل. لا تُخفِها «للجمال».</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متوسط + تقدير تشتت أو ثقة.</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عارضات صغيرة جداً لا تُرى، أو تفسير عدم تقاطع العارضات كدليل قاطع دون اختبار.</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Box للتوزيع الكامل، Fan للتنبؤ.</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78   الخريطة الحرارية</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Heatmap</w:t>
            </w:r>
          </w:p>
        </w:tc>
      </w:tr>
    </w:tbl>
    <w:p>
      <w:pPr>
        <w:spacing w:after="120" w:before="80"/>
        <w:jc w:val="center"/>
        <w:bidi w:val="1"/>
      </w:pPr>
      <w:r>
        <w:drawing>
          <wp:inline xmlns:a="http://schemas.openxmlformats.org/drawingml/2006/main" xmlns:pic="http://schemas.openxmlformats.org/drawingml/2006/picture">
            <wp:extent cx="5976000" cy="4614380"/>
            <wp:docPr id="98" name="Picture 98"/>
            <wp:cNvGraphicFramePr>
              <a:graphicFrameLocks noChangeAspect="1"/>
            </wp:cNvGraphicFramePr>
            <a:graphic>
              <a:graphicData uri="http://schemas.openxmlformats.org/drawingml/2006/picture">
                <pic:pic>
                  <pic:nvPicPr>
                    <pic:cNvPr id="0" name="heatmap.png"/>
                    <pic:cNvPicPr/>
                  </pic:nvPicPr>
                  <pic:blipFill>
                    <a:blip r:embed="rId110"/>
                    <a:stretch>
                      <a:fillRect/>
                    </a:stretch>
                  </pic:blipFill>
                  <pic:spPr>
                    <a:xfrm>
                      <a:off x="0" y="0"/>
                      <a:ext cx="5976000" cy="4614380"/>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مصفوفة خلايا ملونة. نمط في صفوف × أعمدة: زمن×فئة أو فئة×فئة.</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نشاط حسب ساعة×يوم، تعبير جيني، مصفوفة ارتباك، كثافة مبيعات.</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اللون أضعف من الموضع في الإدراك. لا تعتمد عليه لمقارنة دقيقة بين خليتين متباعدتين.</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مصفوفة قيم.</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تدرّج قوس قزح (rainbow) يخلق حدوداً زائفة؛ فضّل تدرّجاً متسلسلاً.</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أعمدة إن كانت الأعمدة قليلة والدقة أهم.</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79   سحابة الكلمات</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Word Cloud</w:t>
            </w:r>
          </w:p>
        </w:tc>
      </w:tr>
    </w:tbl>
    <w:p>
      <w:pPr>
        <w:spacing w:after="120" w:before="80"/>
        <w:jc w:val="center"/>
        <w:bidi w:val="1"/>
      </w:pPr>
      <w:r>
        <w:drawing>
          <wp:inline xmlns:a="http://schemas.openxmlformats.org/drawingml/2006/main" xmlns:pic="http://schemas.openxmlformats.org/drawingml/2006/picture">
            <wp:extent cx="5976000" cy="3674521"/>
            <wp:docPr id="99" name="Picture 99"/>
            <wp:cNvGraphicFramePr>
              <a:graphicFrameLocks noChangeAspect="1"/>
            </wp:cNvGraphicFramePr>
            <a:graphic>
              <a:graphicData uri="http://schemas.openxmlformats.org/drawingml/2006/picture">
                <pic:pic>
                  <pic:nvPicPr>
                    <pic:cNvPr id="0" name="wordcloud.png"/>
                    <pic:cNvPicPr/>
                  </pic:nvPicPr>
                  <pic:blipFill>
                    <a:blip r:embed="rId111"/>
                    <a:stretch>
                      <a:fillRect/>
                    </a:stretch>
                  </pic:blipFill>
                  <pic:spPr>
                    <a:xfrm>
                      <a:off x="0" y="0"/>
                      <a:ext cx="5976000" cy="3674521"/>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كلمات يتناسب حجمها مع التكرار. زخرفة شائعة وتحليل ضعيف.</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انطباع سريع عن نص أو ملصق حدث. ليس نتيجة تحليل.</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لا يُظهر السياق ولا الترتيب النحوي ولا المشاعر السالبة. الكلمات الطويلة تبدو أهم.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تكرارات كلمات.</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استخدامه كدليل في ورقة بحثية أو قرار سياسات.</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جدول تكرار، أو Bar للكلمات العشر الأولى. أفضل دائماً.</w:t>
            </w:r>
          </w:p>
        </w:tc>
      </w:tr>
    </w:tbl>
    <w:p>
      <w:pPr>
        <w:bidi w:val="1"/>
        <w:spacing w:after="0" w:before="0"/>
        <w:jc w:val="right"/>
      </w:pPr>
      <w:r>
        <w:br w:type="page"/>
      </w:r>
    </w:p>
    <w:tbl>
      <w:tblPr>
        <w:tblW w:type="auto" w:w="0"/>
        <w:tblLayout w:type="autofit"/>
        <w:tblLook w:firstColumn="1" w:firstRow="1" w:lastColumn="0" w:lastRow="0" w:noHBand="0" w:noVBand="1" w:val="04A0"/>
        <w:bidiVisual w:val="1"/>
        <w:tblBorders>
          <w:top w:val="nil"/>
          <w:left w:val="nil"/>
          <w:bottom w:val="nil"/>
          <w:right w:val="nil"/>
          <w:insideH w:val="nil"/>
          <w:insideV w:val="nil"/>
        </w:tblBorders>
      </w:tblPr>
      <w:tblGrid>
        <w:gridCol w:w="5046"/>
        <w:gridCol w:w="5046"/>
      </w:tblGrid>
      <w:tr>
        <w:tc>
          <w:tcPr>
            <w:tcW w:type="dxa" w:w="5046"/>
            <w:shd w:fill="0E2433" w:val="clear"/>
            <w:tcMar>
              <w:top w:w="120" w:type="dxa"/>
              <w:bottom w:w="120" w:type="dxa"/>
              <w:left w:w="160" w:type="dxa"/>
              <w:right w:w="160" w:type="dxa"/>
            </w:tcMar>
          </w:tcPr>
          <w:p>
            <w:pPr>
              <w:spacing w:after="0" w:before="0" w:line="276" w:lineRule="auto"/>
              <w:bidi w:val="1"/>
              <w:jc w:val="right"/>
            </w:pPr>
            <w:r>
              <w:rPr>
                <w:rFonts w:ascii="Calibri" w:hAnsi="Calibri" w:cs="Noto Sans Arabic" w:eastAsia="Noto Sans Arabic"/>
                <w:b/>
                <w:i w:val="0"/>
                <w:color w:val="F7F2E8"/>
                <w:sz w:val="28"/>
                <w:rtl/>
                <w:cs/>
              </w:rPr>
              <w:t>80   افتتاح-أعلى-أدنى-إغلاق</w:t>
            </w:r>
          </w:p>
        </w:tc>
        <w:tc>
          <w:tcPr>
            <w:tcW w:type="dxa" w:w="5046"/>
            <w:shd w:fill="2C6E7A" w:val="clear"/>
            <w:tcMar>
              <w:top w:w="120" w:type="dxa"/>
              <w:bottom w:w="120" w:type="dxa"/>
              <w:left w:w="160" w:type="dxa"/>
              <w:right w:w="160" w:type="dxa"/>
            </w:tcMar>
          </w:tcPr>
          <w:p>
            <w:pPr>
              <w:spacing w:after="0" w:before="0" w:line="276" w:lineRule="auto"/>
              <w:bidi w:val="1"/>
              <w:jc w:val="left"/>
            </w:pPr>
            <w:r>
              <w:rPr>
                <w:rFonts w:ascii="Calibri" w:hAnsi="Calibri" w:cs="Calibri" w:eastAsia="Calibri"/>
                <w:b w:val="0"/>
                <w:i w:val="0"/>
                <w:color w:val="F7F2E8"/>
                <w:sz w:val="20"/>
                <w:rtl/>
                <w:cs/>
              </w:rPr>
              <w:t>OHLC Bar</w:t>
            </w:r>
          </w:p>
        </w:tc>
      </w:tr>
    </w:tbl>
    <w:p>
      <w:pPr>
        <w:spacing w:after="120" w:before="80"/>
        <w:jc w:val="center"/>
        <w:bidi w:val="1"/>
      </w:pPr>
      <w:r>
        <w:drawing>
          <wp:inline xmlns:a="http://schemas.openxmlformats.org/drawingml/2006/main" xmlns:pic="http://schemas.openxmlformats.org/drawingml/2006/picture">
            <wp:extent cx="5976000" cy="3486498"/>
            <wp:docPr id="100" name="Picture 100"/>
            <wp:cNvGraphicFramePr>
              <a:graphicFrameLocks noChangeAspect="1"/>
            </wp:cNvGraphicFramePr>
            <a:graphic>
              <a:graphicData uri="http://schemas.openxmlformats.org/drawingml/2006/picture">
                <pic:pic>
                  <pic:nvPicPr>
                    <pic:cNvPr id="0" name="ohlc.png"/>
                    <pic:cNvPicPr/>
                  </pic:nvPicPr>
                  <pic:blipFill>
                    <a:blip r:embed="rId112"/>
                    <a:stretch>
                      <a:fillRect/>
                    </a:stretch>
                  </pic:blipFill>
                  <pic:spPr>
                    <a:xfrm>
                      <a:off x="0" y="0"/>
                      <a:ext cx="5976000" cy="3486498"/>
                    </a:xfrm>
                    <a:prstGeom prst="rect"/>
                  </pic:spPr>
                </pic:pic>
              </a:graphicData>
            </a:graphic>
          </wp:inline>
        </w:drawing>
      </w:r>
    </w:p>
    <w:tbl>
      <w:tblPr>
        <w:tblW w:type="auto" w:w="0"/>
        <w:tblLayout w:type="autofit"/>
        <w:tblLook w:firstColumn="1" w:firstRow="1" w:lastColumn="0" w:lastRow="0" w:noHBand="0" w:noVBand="1" w:val="04A0"/>
        <w:bidiVisual w:val="1"/>
      </w:tblPr>
      <w:tblGrid>
        <w:gridCol w:w="5046"/>
        <w:gridCol w:w="5046"/>
      </w:tblGrid>
      <w:tr>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ماذا يُظهر</w:t>
            </w:r>
          </w:p>
          <w:p>
            <w:pPr>
              <w:spacing w:after="40" w:before="0" w:line="276" w:lineRule="auto"/>
              <w:bidi w:val="1"/>
              <w:jc w:val="right"/>
            </w:pPr>
            <w:r>
              <w:rPr>
                <w:rFonts w:ascii="Calibri" w:hAnsi="Calibri" w:cs="Noto Naskh Arabic" w:eastAsia="Noto Naskh Arabic"/>
                <w:b w:val="0"/>
                <w:i w:val="0"/>
                <w:color w:val="1C2833"/>
                <w:sz w:val="21"/>
                <w:rtl/>
                <w:cs/>
              </w:rPr>
              <w:t>شرطة عمودية للمدى وعلامات أفقية للافتتاح والإغلاق. سلف الشموع.</w:t>
            </w:r>
          </w:p>
        </w:tc>
        <w:tc>
          <w:tcPr>
            <w:tcW w:type="dxa" w:w="5046"/>
            <w:shd w:fill="EFE6D6"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متى تستخدمه</w:t>
            </w:r>
          </w:p>
          <w:p>
            <w:pPr>
              <w:spacing w:after="40" w:before="0" w:line="276" w:lineRule="auto"/>
              <w:bidi w:val="1"/>
              <w:jc w:val="right"/>
            </w:pPr>
            <w:r>
              <w:rPr>
                <w:rFonts w:ascii="Calibri" w:hAnsi="Calibri" w:cs="Noto Naskh Arabic" w:eastAsia="Noto Naskh Arabic"/>
                <w:b w:val="0"/>
                <w:i w:val="0"/>
                <w:color w:val="1C2833"/>
                <w:sz w:val="21"/>
                <w:rtl/>
                <w:cs/>
              </w:rPr>
              <w:t>تحليل أسواق لمن يفضّل شكلاً أقل «امتلاءً» من الشموع.</w:t>
            </w:r>
          </w:p>
        </w:tc>
      </w:tr>
      <w:tr>
        <w:tc>
          <w:tcPr>
            <w:tcW w:type="dxa" w:w="5046"/>
            <w:shd w:fill="F4E8E4"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متى تتجنّبه</w:t>
            </w:r>
          </w:p>
          <w:p>
            <w:pPr>
              <w:spacing w:after="40" w:before="0" w:line="276" w:lineRule="auto"/>
              <w:bidi w:val="1"/>
              <w:jc w:val="right"/>
            </w:pPr>
            <w:r>
              <w:rPr>
                <w:rFonts w:ascii="Calibri" w:hAnsi="Calibri" w:cs="Noto Naskh Arabic" w:eastAsia="Noto Naskh Arabic"/>
                <w:b w:val="0"/>
                <w:i w:val="0"/>
                <w:color w:val="1C2833"/>
                <w:sz w:val="21"/>
                <w:rtl/>
                <w:cs/>
              </w:rPr>
              <w:t>نفس قيود الشموع: بيانات OHLC فقط.</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البيانات المطلوبة</w:t>
            </w:r>
          </w:p>
          <w:p>
            <w:pPr>
              <w:spacing w:after="40" w:before="0" w:line="276" w:lineRule="auto"/>
              <w:bidi w:val="1"/>
              <w:jc w:val="right"/>
            </w:pPr>
            <w:r>
              <w:rPr>
                <w:rFonts w:ascii="Calibri" w:hAnsi="Calibri" w:cs="Noto Naskh Arabic" w:eastAsia="Noto Naskh Arabic"/>
                <w:b w:val="0"/>
                <w:i w:val="0"/>
                <w:color w:val="1C2833"/>
                <w:sz w:val="21"/>
                <w:rtl/>
                <w:cs/>
              </w:rPr>
              <w:t>OHLC.</w:t>
            </w:r>
          </w:p>
        </w:tc>
      </w:tr>
      <w:tr>
        <w:tc>
          <w:tcPr>
            <w:tcW w:type="dxa" w:w="5046"/>
            <w:shd w:fill="E7EEF0"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C45C4A"/>
                <w:sz w:val="18"/>
                <w:rtl/>
                <w:cs/>
              </w:rPr>
              <w:t>خطأ شائع</w:t>
            </w:r>
          </w:p>
          <w:p>
            <w:pPr>
              <w:spacing w:after="40" w:before="0" w:line="276" w:lineRule="auto"/>
              <w:bidi w:val="1"/>
              <w:jc w:val="right"/>
            </w:pPr>
            <w:r>
              <w:rPr>
                <w:rFonts w:ascii="Calibri" w:hAnsi="Calibri" w:cs="Noto Naskh Arabic" w:eastAsia="Noto Naskh Arabic"/>
                <w:b w:val="0"/>
                <w:i w:val="0"/>
                <w:color w:val="1C2833"/>
                <w:sz w:val="21"/>
                <w:rtl/>
                <w:cs/>
              </w:rPr>
              <w:t>ألوان بلا مفتاح لاتجاه اليوم.</w:t>
            </w:r>
          </w:p>
        </w:tc>
        <w:tc>
          <w:tcPr>
            <w:tcW w:type="dxa" w:w="5046"/>
            <w:shd w:fill="F7F2E8" w:val="clear"/>
            <w:tcMar>
              <w:top w:w="120" w:type="dxa"/>
              <w:bottom w:w="120" w:type="dxa"/>
              <w:left w:w="160" w:type="dxa"/>
              <w:right w:w="160" w:type="dxa"/>
            </w:tcMar>
            <w:tcBorders>
              <w:top w:val="single" w:sz="8" w:color="E6D9C4" w:space="0"/>
              <w:left w:val="single" w:sz="8" w:color="E6D9C4" w:space="0"/>
              <w:bottom w:val="single" w:sz="8" w:color="E6D9C4" w:space="0"/>
              <w:right w:val="single" w:sz="8" w:color="E6D9C4" w:space="0"/>
            </w:tcBorders>
          </w:tcPr>
          <w:p>
            <w:pPr>
              <w:spacing w:after="40" w:before="0" w:line="276" w:lineRule="auto"/>
              <w:bidi w:val="1"/>
              <w:jc w:val="right"/>
            </w:pPr>
            <w:r>
              <w:rPr>
                <w:rFonts w:ascii="Calibri" w:hAnsi="Calibri" w:cs="Noto Sans Arabic" w:eastAsia="Noto Sans Arabic"/>
                <w:b/>
                <w:i w:val="0"/>
                <w:color w:val="2C6E7A"/>
                <w:sz w:val="18"/>
                <w:rtl/>
                <w:cs/>
              </w:rPr>
              <w:t>بديل أفضل أحياناً</w:t>
            </w:r>
          </w:p>
          <w:p>
            <w:pPr>
              <w:spacing w:after="40" w:before="0" w:line="276" w:lineRule="auto"/>
              <w:bidi w:val="1"/>
              <w:jc w:val="right"/>
            </w:pPr>
            <w:r>
              <w:rPr>
                <w:rFonts w:ascii="Calibri" w:hAnsi="Calibri" w:cs="Noto Naskh Arabic" w:eastAsia="Noto Naskh Arabic"/>
                <w:b w:val="0"/>
                <w:i w:val="0"/>
                <w:color w:val="1C2833"/>
                <w:sz w:val="21"/>
                <w:rtl/>
                <w:cs/>
              </w:rPr>
              <w:t>Candlestick أو خط إغلاق.</w:t>
            </w:r>
          </w:p>
        </w:tc>
      </w:tr>
    </w:tbl>
    <w:p>
      <w:pPr>
        <w:bidi w:val="1"/>
        <w:spacing w:after="0" w:before="0"/>
        <w:jc w:val="right"/>
      </w:pPr>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0E2433" w:val="clear"/>
            <w:tcMar>
              <w:top w:w="160" w:type="dxa"/>
              <w:bottom w:w="160" w:type="dxa"/>
              <w:left w:w="200" w:type="dxa"/>
              <w:right w:w="200" w:type="dxa"/>
            </w:tcMar>
          </w:tcPr>
          <w:p>
            <w:pPr>
              <w:spacing w:after="40" w:before="0" w:line="276" w:lineRule="auto"/>
              <w:bidi w:val="1"/>
              <w:jc w:val="center"/>
            </w:pPr>
            <w:r>
              <w:rPr>
                <w:rFonts w:ascii="Calibri" w:hAnsi="Calibri" w:cs="Noto Sans Arabic" w:eastAsia="Noto Sans Arabic"/>
                <w:b/>
                <w:i w:val="0"/>
                <w:color w:val="F7F2E8"/>
                <w:sz w:val="32"/>
                <w:rtl/>
                <w:cs/>
              </w:rPr>
              <w:t>المصادر والنسب</w:t>
            </w:r>
          </w:p>
          <w:p>
            <w:pPr>
              <w:spacing w:after="40" w:before="0" w:line="276" w:lineRule="auto"/>
              <w:bidi w:val="1"/>
              <w:jc w:val="center"/>
            </w:pPr>
            <w:r>
              <w:rPr>
                <w:rFonts w:ascii="Calibri" w:hAnsi="Calibri" w:cs="Calibri" w:eastAsia="Calibri"/>
                <w:b w:val="0"/>
                <w:i w:val="0"/>
                <w:color w:val="C6A15B"/>
                <w:sz w:val="20"/>
                <w:rtl/>
                <w:cs/>
              </w:rPr>
              <w:t>Sources — the spine of this atlas</w:t>
            </w:r>
          </w:p>
        </w:tc>
      </w:tr>
    </w:tbl>
    <w:p>
      <w:pPr>
        <w:spacing w:after="200" w:before="200" w:line="283" w:lineRule="auto"/>
        <w:bidi w:val="1"/>
        <w:jc w:val="right"/>
      </w:pPr>
      <w:r>
        <w:rPr>
          <w:rFonts w:ascii="Calibri" w:hAnsi="Calibri" w:cs="Noto Naskh Arabic" w:eastAsia="Noto Naskh Arabic"/>
          <w:b w:val="0"/>
          <w:i w:val="0"/>
          <w:color w:val="1C2833"/>
          <w:sz w:val="24"/>
          <w:rtl/>
          <w:cs/>
        </w:rPr>
        <w:t>جُمعت المادة من المراجع التي يعتمدها محرّرو البيانات والأكاديميون، لا من قوائم تسويقية لأدوات ذكاء الأعمال. العربية هنا صياغة وتحرير؛ المنهج بصري عالمي.</w:t>
      </w:r>
    </w:p>
    <w:p>
      <w:pPr>
        <w:spacing w:after="160" w:before="0" w:line="283" w:lineRule="auto"/>
        <w:bidi w:val="1"/>
        <w:jc w:val="right"/>
      </w:pPr>
      <w:r>
        <w:rPr>
          <w:rFonts w:ascii="Calibri" w:hAnsi="Calibri" w:cs="Noto Sans Arabic" w:eastAsia="Noto Sans Arabic"/>
          <w:b/>
          <w:i w:val="0"/>
          <w:color w:val="0E2433"/>
          <w:sz w:val="26"/>
          <w:rtl/>
          <w:cs/>
        </w:rPr>
        <w:t>المراجع الأساسية (بهذا الترتيب تقريباً)</w:t>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1.  Financial Times — Visual Vocabulary</w:t>
            </w:r>
          </w:p>
          <w:p>
            <w:pPr>
              <w:spacing w:after="40" w:before="0" w:line="276" w:lineRule="auto"/>
              <w:bidi w:val="1"/>
              <w:jc w:val="right"/>
            </w:pPr>
            <w:r>
              <w:rPr>
                <w:rFonts w:ascii="Calibri" w:hAnsi="Calibri" w:cs="Noto Naskh Arabic" w:eastAsia="Noto Naskh Arabic"/>
                <w:b w:val="0"/>
                <w:i w:val="0"/>
                <w:color w:val="1C2833"/>
                <w:sz w:val="22"/>
                <w:rtl/>
                <w:cs/>
              </w:rPr>
              <w:t>الملصق الأشهر عالمياً لتصنيف الرسوم حسب الغرض (انحراف، ارتباط، ترتيب، توزيع، زمن، جزء من كل، حجم، مكان، تدفق). العمود الفقري لتنظيم هذا الأطلس.</w:t>
            </w:r>
          </w:p>
          <w:p>
            <w:pPr>
              <w:spacing w:after="20" w:before="0" w:line="276" w:lineRule="auto"/>
              <w:bidi w:val="1"/>
              <w:jc w:val="right"/>
            </w:pPr>
            <w:r>
              <w:rPr>
                <w:rFonts w:ascii="Calibri" w:hAnsi="Calibri" w:cs="Calibri" w:eastAsia="Calibri"/>
                <w:b w:val="0"/>
                <w:i w:val="0"/>
                <w:color w:val="2C6E7A"/>
                <w:sz w:val="18"/>
                <w:rtl/>
                <w:cs/>
              </w:rPr>
              <w:t>https://github.com/ft-interactive/chart-doctor</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FFFFF"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2.  From Data to Viz — Yan Holtz &amp; Conor Healy</w:t>
            </w:r>
          </w:p>
          <w:p>
            <w:pPr>
              <w:spacing w:after="40" w:before="0" w:line="276" w:lineRule="auto"/>
              <w:bidi w:val="1"/>
              <w:jc w:val="right"/>
            </w:pPr>
            <w:r>
              <w:rPr>
                <w:rFonts w:ascii="Calibri" w:hAnsi="Calibri" w:cs="Noto Naskh Arabic" w:eastAsia="Noto Naskh Arabic"/>
                <w:b w:val="0"/>
                <w:i w:val="0"/>
                <w:color w:val="1C2833"/>
                <w:sz w:val="22"/>
                <w:rtl/>
                <w:cs/>
              </w:rPr>
              <w:t>شجرة قرار حسب شكل البيانات (كمّي، فئوي، خرائط، شبكات، سلاسل زمنية) مع أمثلة R/Python والتحذيرات الشائعة.</w:t>
            </w:r>
          </w:p>
          <w:p>
            <w:pPr>
              <w:spacing w:after="20" w:before="0" w:line="276" w:lineRule="auto"/>
              <w:bidi w:val="1"/>
              <w:jc w:val="right"/>
            </w:pPr>
            <w:r>
              <w:rPr>
                <w:rFonts w:ascii="Calibri" w:hAnsi="Calibri" w:cs="Calibri" w:eastAsia="Calibri"/>
                <w:b w:val="0"/>
                <w:i w:val="0"/>
                <w:color w:val="2C6E7A"/>
                <w:sz w:val="18"/>
                <w:rtl/>
                <w:cs/>
              </w:rPr>
              <w:t>https://www.data-to-viz.com/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3.  The Data Visualisation Catalogue — Severino Ribecca</w:t>
            </w:r>
          </w:p>
          <w:p>
            <w:pPr>
              <w:spacing w:after="40" w:before="0" w:line="276" w:lineRule="auto"/>
              <w:bidi w:val="1"/>
              <w:jc w:val="right"/>
            </w:pPr>
            <w:r>
              <w:rPr>
                <w:rFonts w:ascii="Calibri" w:hAnsi="Calibri" w:cs="Noto Naskh Arabic" w:eastAsia="Noto Naskh Arabic"/>
                <w:b w:val="0"/>
                <w:i w:val="0"/>
                <w:color w:val="1C2833"/>
                <w:sz w:val="22"/>
                <w:rtl/>
                <w:cs/>
              </w:rPr>
              <w:t>مكتبة غنية بأنواع الرسوم، مع تصنيف حسب الوظيفة (مقارنة، نسبة، علاقة، هرمية، تدفق…).</w:t>
            </w:r>
          </w:p>
          <w:p>
            <w:pPr>
              <w:spacing w:after="20" w:before="0" w:line="276" w:lineRule="auto"/>
              <w:bidi w:val="1"/>
              <w:jc w:val="right"/>
            </w:pPr>
            <w:r>
              <w:rPr>
                <w:rFonts w:ascii="Calibri" w:hAnsi="Calibri" w:cs="Calibri" w:eastAsia="Calibri"/>
                <w:b w:val="0"/>
                <w:i w:val="0"/>
                <w:color w:val="2C6E7A"/>
                <w:sz w:val="18"/>
                <w:rtl/>
                <w:cs/>
              </w:rPr>
              <w:t>https://datavizcatalogue.com/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FFFFF"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4.  Data Viz Project — Ferdio</w:t>
            </w:r>
          </w:p>
          <w:p>
            <w:pPr>
              <w:spacing w:after="40" w:before="0" w:line="276" w:lineRule="auto"/>
              <w:bidi w:val="1"/>
              <w:jc w:val="right"/>
            </w:pPr>
            <w:r>
              <w:rPr>
                <w:rFonts w:ascii="Calibri" w:hAnsi="Calibri" w:cs="Noto Naskh Arabic" w:eastAsia="Noto Naskh Arabic"/>
                <w:b w:val="0"/>
                <w:i w:val="0"/>
                <w:color w:val="1C2833"/>
                <w:sz w:val="22"/>
                <w:rtl/>
                <w:cs/>
              </w:rPr>
              <w:t>أكبر أرشيف شكلي تقريباً (~160 نوعاً) مع تصفية حسب الشكل والوظيفة. مرجع لاستكشاف الأنواع النادرة.</w:t>
            </w:r>
          </w:p>
          <w:p>
            <w:pPr>
              <w:spacing w:after="20" w:before="0" w:line="276" w:lineRule="auto"/>
              <w:bidi w:val="1"/>
              <w:jc w:val="right"/>
            </w:pPr>
            <w:r>
              <w:rPr>
                <w:rFonts w:ascii="Calibri" w:hAnsi="Calibri" w:cs="Calibri" w:eastAsia="Calibri"/>
                <w:b w:val="0"/>
                <w:i w:val="0"/>
                <w:color w:val="2C6E7A"/>
                <w:sz w:val="18"/>
                <w:rtl/>
                <w:cs/>
              </w:rPr>
              <w:t>https://datavizproject.com/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5.  Datawrapper — A friendly guide to choosing a chart type (Lisa Charlotte Muth)</w:t>
            </w:r>
          </w:p>
          <w:p>
            <w:pPr>
              <w:spacing w:after="40" w:before="0" w:line="276" w:lineRule="auto"/>
              <w:bidi w:val="1"/>
              <w:jc w:val="right"/>
            </w:pPr>
            <w:r>
              <w:rPr>
                <w:rFonts w:ascii="Calibri" w:hAnsi="Calibri" w:cs="Noto Naskh Arabic" w:eastAsia="Noto Naskh Arabic"/>
                <w:b w:val="0"/>
                <w:i w:val="0"/>
                <w:color w:val="1C2833"/>
                <w:sz w:val="22"/>
                <w:rtl/>
                <w:cs/>
              </w:rPr>
              <w:t>دليل عملي حديث، صادق حول ما يُقرأ وما هو «جميل لكن صعب»، مع أمثلة تحريرية.</w:t>
            </w:r>
          </w:p>
          <w:p>
            <w:pPr>
              <w:spacing w:after="20" w:before="0" w:line="276" w:lineRule="auto"/>
              <w:bidi w:val="1"/>
              <w:jc w:val="right"/>
            </w:pPr>
            <w:r>
              <w:rPr>
                <w:rFonts w:ascii="Calibri" w:hAnsi="Calibri" w:cs="Calibri" w:eastAsia="Calibri"/>
                <w:b w:val="0"/>
                <w:i w:val="0"/>
                <w:color w:val="2C6E7A"/>
                <w:sz w:val="18"/>
                <w:rtl/>
                <w:cs/>
              </w:rPr>
              <w:t>https://www.datawrapper.de/blog/chart-types-guide</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FFFFF"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6.  Claus O. Wilke — Fundamentals of Data Visualization</w:t>
            </w:r>
          </w:p>
          <w:p>
            <w:pPr>
              <w:spacing w:after="40" w:before="0" w:line="276" w:lineRule="auto"/>
              <w:bidi w:val="1"/>
              <w:jc w:val="right"/>
            </w:pPr>
            <w:r>
              <w:rPr>
                <w:rFonts w:ascii="Calibri" w:hAnsi="Calibri" w:cs="Noto Naskh Arabic" w:eastAsia="Noto Naskh Arabic"/>
                <w:b w:val="0"/>
                <w:i w:val="0"/>
                <w:color w:val="1C2833"/>
                <w:sz w:val="22"/>
                <w:rtl/>
                <w:cs/>
              </w:rPr>
              <w:t>أفضل كتاب مفتوح حديث لمبادئ الإدراك، الألوان، والمحاور. الأساس النظري لما يجب تجنّبه.</w:t>
            </w:r>
          </w:p>
          <w:p>
            <w:pPr>
              <w:spacing w:after="20" w:before="0" w:line="276" w:lineRule="auto"/>
              <w:bidi w:val="1"/>
              <w:jc w:val="right"/>
            </w:pPr>
            <w:r>
              <w:rPr>
                <w:rFonts w:ascii="Calibri" w:hAnsi="Calibri" w:cs="Calibri" w:eastAsia="Calibri"/>
                <w:b w:val="0"/>
                <w:i w:val="0"/>
                <w:color w:val="2C6E7A"/>
                <w:sz w:val="18"/>
                <w:rtl/>
                <w:cs/>
              </w:rPr>
              <w:t>https://clauswilke.com/dataviz/</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7.  Cole Nussbaumer Knaflic — Storytelling with Data</w:t>
            </w:r>
          </w:p>
          <w:p>
            <w:pPr>
              <w:spacing w:after="40" w:before="0" w:line="276" w:lineRule="auto"/>
              <w:bidi w:val="1"/>
              <w:jc w:val="right"/>
            </w:pPr>
            <w:r>
              <w:rPr>
                <w:rFonts w:ascii="Calibri" w:hAnsi="Calibri" w:cs="Noto Naskh Arabic" w:eastAsia="Noto Naskh Arabic"/>
                <w:b w:val="0"/>
                <w:i w:val="0"/>
                <w:color w:val="1C2833"/>
                <w:sz w:val="22"/>
                <w:rtl/>
                <w:cs/>
              </w:rPr>
              <w:t>التركيز على الرسالة والجمهور وإزالة الزخرفة. مكمّل ممتاز لأي كتالوج أنواع.</w:t>
            </w:r>
          </w:p>
          <w:p>
            <w:pPr>
              <w:spacing w:after="20" w:before="0" w:line="276" w:lineRule="auto"/>
              <w:bidi w:val="1"/>
              <w:jc w:val="right"/>
            </w:pPr>
            <w:r>
              <w:rPr>
                <w:rFonts w:ascii="Calibri" w:hAnsi="Calibri" w:cs="Calibri" w:eastAsia="Calibri"/>
                <w:b w:val="0"/>
                <w:i w:val="0"/>
                <w:color w:val="2C6E7A"/>
                <w:sz w:val="18"/>
                <w:rtl/>
                <w:cs/>
              </w:rPr>
              <w:t>https://www.storytellingwithdata.com/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FFFFF"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8.  Edward Tufte — The Visual Display of Quantitative Information</w:t>
            </w:r>
          </w:p>
          <w:p>
            <w:pPr>
              <w:spacing w:after="40" w:before="0" w:line="276" w:lineRule="auto"/>
              <w:bidi w:val="1"/>
              <w:jc w:val="right"/>
            </w:pPr>
            <w:r>
              <w:rPr>
                <w:rFonts w:ascii="Calibri" w:hAnsi="Calibri" w:cs="Noto Naskh Arabic" w:eastAsia="Noto Naskh Arabic"/>
                <w:b w:val="0"/>
                <w:i w:val="0"/>
                <w:color w:val="1C2833"/>
                <w:sz w:val="22"/>
                <w:rtl/>
                <w:cs/>
              </w:rPr>
              <w:t>الكثافة المعلوماتية، الشرارات، والحبر المعرّف للبيانات. مرجع كلاسيكي لا يُستغنى عنه.</w:t>
            </w:r>
          </w:p>
          <w:p>
            <w:pPr>
              <w:spacing w:after="20" w:before="0" w:line="276" w:lineRule="auto"/>
              <w:bidi w:val="1"/>
              <w:jc w:val="right"/>
            </w:pPr>
            <w:r>
              <w:rPr>
                <w:rFonts w:ascii="Calibri" w:hAnsi="Calibri" w:cs="Calibri" w:eastAsia="Calibri"/>
                <w:b w:val="0"/>
                <w:i w:val="0"/>
                <w:color w:val="2C6E7A"/>
                <w:sz w:val="18"/>
                <w:rtl/>
                <w:cs/>
              </w:rPr>
              <w:t>https://www.edwardtufte.com/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9.  Jacques Bertin — Sémiologie Graphique</w:t>
            </w:r>
          </w:p>
          <w:p>
            <w:pPr>
              <w:spacing w:after="40" w:before="0" w:line="276" w:lineRule="auto"/>
              <w:bidi w:val="1"/>
              <w:jc w:val="right"/>
            </w:pPr>
            <w:r>
              <w:rPr>
                <w:rFonts w:ascii="Calibri" w:hAnsi="Calibri" w:cs="Noto Naskh Arabic" w:eastAsia="Noto Naskh Arabic"/>
                <w:b w:val="0"/>
                <w:i w:val="0"/>
                <w:color w:val="1C2833"/>
                <w:sz w:val="22"/>
                <w:rtl/>
                <w:cs/>
              </w:rPr>
              <w:t>الأصل النظري للمتغيّرات البصرية (موضع، حجم، قيمة، ملمس، لون، اتجاه، شكل).</w:t>
            </w:r>
          </w:p>
          <w:p>
            <w:pPr>
              <w:spacing w:after="20" w:before="0" w:line="276" w:lineRule="auto"/>
              <w:bidi w:val="1"/>
              <w:jc w:val="right"/>
            </w:pPr>
            <w:r>
              <w:rPr>
                <w:rFonts w:ascii="Calibri" w:hAnsi="Calibri" w:cs="Calibri" w:eastAsia="Calibri"/>
                <w:b w:val="0"/>
                <w:i w:val="0"/>
                <w:color w:val="2C6E7A"/>
                <w:sz w:val="18"/>
                <w:rtl/>
                <w:cs/>
              </w:rPr>
              <w:t>مرجع مطبوع / مكتبات</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FFFFF"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10.  Jon Schwabisch — Better Data Visualizations</w:t>
            </w:r>
          </w:p>
          <w:p>
            <w:pPr>
              <w:spacing w:after="40" w:before="0" w:line="276" w:lineRule="auto"/>
              <w:bidi w:val="1"/>
              <w:jc w:val="right"/>
            </w:pPr>
            <w:r>
              <w:rPr>
                <w:rFonts w:ascii="Calibri" w:hAnsi="Calibri" w:cs="Noto Naskh Arabic" w:eastAsia="Noto Naskh Arabic"/>
                <w:b w:val="0"/>
                <w:i w:val="0"/>
                <w:color w:val="1C2833"/>
                <w:sz w:val="22"/>
                <w:rtl/>
                <w:cs/>
              </w:rPr>
              <w:t>كتالوج عملي لأنواع أقل شهرة مع أمثلة سياسات عامة.</w:t>
            </w:r>
          </w:p>
          <w:p>
            <w:pPr>
              <w:spacing w:after="20" w:before="0" w:line="276" w:lineRule="auto"/>
              <w:bidi w:val="1"/>
              <w:jc w:val="right"/>
            </w:pPr>
            <w:r>
              <w:rPr>
                <w:rFonts w:ascii="Calibri" w:hAnsi="Calibri" w:cs="Calibri" w:eastAsia="Calibri"/>
                <w:b w:val="0"/>
                <w:i w:val="0"/>
                <w:color w:val="2C6E7A"/>
                <w:sz w:val="18"/>
                <w:rtl/>
                <w:cs/>
              </w:rPr>
              <w:t>https://policyviz.com/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11.  Andy Kirk — Data Visualisation: A Handbook for Data Driven Design</w:t>
            </w:r>
          </w:p>
          <w:p>
            <w:pPr>
              <w:spacing w:after="40" w:before="0" w:line="276" w:lineRule="auto"/>
              <w:bidi w:val="1"/>
              <w:jc w:val="right"/>
            </w:pPr>
            <w:r>
              <w:rPr>
                <w:rFonts w:ascii="Calibri" w:hAnsi="Calibri" w:cs="Noto Naskh Arabic" w:eastAsia="Noto Naskh Arabic"/>
                <w:b w:val="0"/>
                <w:i w:val="0"/>
                <w:color w:val="1C2833"/>
                <w:sz w:val="22"/>
                <w:rtl/>
                <w:cs/>
              </w:rPr>
              <w:t>إطار تصميم كامل: من السؤال إلى الاختيار إلى التنفيذ.</w:t>
            </w:r>
          </w:p>
          <w:p>
            <w:pPr>
              <w:spacing w:after="20" w:before="0" w:line="276" w:lineRule="auto"/>
              <w:bidi w:val="1"/>
              <w:jc w:val="right"/>
            </w:pPr>
            <w:r>
              <w:rPr>
                <w:rFonts w:ascii="Calibri" w:hAnsi="Calibri" w:cs="Calibri" w:eastAsia="Calibri"/>
                <w:b w:val="0"/>
                <w:i w:val="0"/>
                <w:color w:val="2C6E7A"/>
                <w:sz w:val="18"/>
                <w:rtl/>
                <w:cs/>
              </w:rPr>
              <w:t>https://www.visualisingdata.com/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FFFFF"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12.  Stephen Few — Show Me the Numbers / Bullet graphs</w:t>
            </w:r>
          </w:p>
          <w:p>
            <w:pPr>
              <w:spacing w:after="40" w:before="0" w:line="276" w:lineRule="auto"/>
              <w:bidi w:val="1"/>
              <w:jc w:val="right"/>
            </w:pPr>
            <w:r>
              <w:rPr>
                <w:rFonts w:ascii="Calibri" w:hAnsi="Calibri" w:cs="Noto Naskh Arabic" w:eastAsia="Noto Naskh Arabic"/>
                <w:b w:val="0"/>
                <w:i w:val="0"/>
                <w:color w:val="1C2833"/>
                <w:sz w:val="22"/>
                <w:rtl/>
                <w:cs/>
              </w:rPr>
              <w:t>نقد لوحات المؤشرات، واختراع مخطط الرصاصة بديلاً للعدادات.</w:t>
            </w:r>
          </w:p>
          <w:p>
            <w:pPr>
              <w:spacing w:after="20" w:before="0" w:line="276" w:lineRule="auto"/>
              <w:bidi w:val="1"/>
              <w:jc w:val="right"/>
            </w:pPr>
            <w:r>
              <w:rPr>
                <w:rFonts w:ascii="Calibri" w:hAnsi="Calibri" w:cs="Calibri" w:eastAsia="Calibri"/>
                <w:b w:val="0"/>
                <w:i w:val="0"/>
                <w:color w:val="2C6E7A"/>
                <w:sz w:val="18"/>
                <w:rtl/>
                <w:cs/>
              </w:rPr>
              <w:t>https://www.perceptualedge.com/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13.  Cleveland &amp; McGill — Graphical Perception (1984)</w:t>
            </w:r>
          </w:p>
          <w:p>
            <w:pPr>
              <w:spacing w:after="40" w:before="0" w:line="276" w:lineRule="auto"/>
              <w:bidi w:val="1"/>
              <w:jc w:val="right"/>
            </w:pPr>
            <w:r>
              <w:rPr>
                <w:rFonts w:ascii="Calibri" w:hAnsi="Calibri" w:cs="Noto Naskh Arabic" w:eastAsia="Noto Naskh Arabic"/>
                <w:b w:val="0"/>
                <w:i w:val="0"/>
                <w:color w:val="1C2833"/>
                <w:sz w:val="22"/>
                <w:rtl/>
                <w:cs/>
              </w:rPr>
              <w:t>ترتيب دقة قراءة الترميزات: الموضع على مقياس مشترك &gt; الطول &gt; الزاوية &gt; المساحة &gt; اللون. يفسّر لماذا الأعمدة تهزم الدوائر.</w:t>
            </w:r>
          </w:p>
          <w:p>
            <w:pPr>
              <w:spacing w:after="20" w:before="0" w:line="276" w:lineRule="auto"/>
              <w:bidi w:val="1"/>
              <w:jc w:val="right"/>
            </w:pPr>
            <w:r>
              <w:rPr>
                <w:rFonts w:ascii="Calibri" w:hAnsi="Calibri" w:cs="Calibri" w:eastAsia="Calibri"/>
                <w:b w:val="0"/>
                <w:i w:val="0"/>
                <w:color w:val="2C6E7A"/>
                <w:sz w:val="18"/>
                <w:rtl/>
                <w:cs/>
              </w:rPr>
              <w:t>ورقة علمية كلاسيكية</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FFFFF"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14.  The Python Graph Gallery / R Graph Gallery</w:t>
            </w:r>
          </w:p>
          <w:p>
            <w:pPr>
              <w:spacing w:after="40" w:before="0" w:line="276" w:lineRule="auto"/>
              <w:bidi w:val="1"/>
              <w:jc w:val="right"/>
            </w:pPr>
            <w:r>
              <w:rPr>
                <w:rFonts w:ascii="Calibri" w:hAnsi="Calibri" w:cs="Noto Naskh Arabic" w:eastAsia="Noto Naskh Arabic"/>
                <w:b w:val="0"/>
                <w:i w:val="0"/>
                <w:color w:val="1C2833"/>
                <w:sz w:val="22"/>
                <w:rtl/>
                <w:cs/>
              </w:rPr>
              <w:t>تنفيذ عملي لمعظم الرسوم في هذا الأطلس، مع شيفرة جاهزة.</w:t>
            </w:r>
          </w:p>
          <w:p>
            <w:pPr>
              <w:spacing w:after="20" w:before="0" w:line="276" w:lineRule="auto"/>
              <w:bidi w:val="1"/>
              <w:jc w:val="right"/>
            </w:pPr>
            <w:r>
              <w:rPr>
                <w:rFonts w:ascii="Calibri" w:hAnsi="Calibri" w:cs="Calibri" w:eastAsia="Calibri"/>
                <w:b w:val="0"/>
                <w:i w:val="0"/>
                <w:color w:val="2C6E7A"/>
                <w:sz w:val="18"/>
                <w:rtl/>
                <w:cs/>
              </w:rPr>
              <w:t>https://python-graph-gallery.com/</w:t>
            </w:r>
          </w:p>
        </w:tc>
      </w:tr>
    </w:tbl>
    <w:p>
      <w:pPr>
        <w:spacing w:after="80" w:before="0" w:line="283" w:lineRule="auto"/>
        <w:bidi w:val="1"/>
        <w:jc w:val="right"/>
      </w:pPr>
      <w:r>
        <w:rPr>
          <w:rFonts w:ascii="Calibri" w:hAnsi="Calibri" w:cs="Noto Naskh Arabic" w:eastAsia="Noto Naskh Arabic"/>
          <w:b w:val="0"/>
          <w:i w:val="0"/>
          <w:color w:val="1C2833"/>
          <w:sz w:val="8"/>
          <w:rtl/>
          <w:cs/>
        </w:rPr>
      </w:r>
    </w:p>
    <w:tbl>
      <w:tblPr>
        <w:tblW w:type="auto" w:w="0"/>
        <w:tblLook w:firstColumn="1" w:firstRow="1" w:lastColumn="0" w:lastRow="0" w:noHBand="0" w:noVBand="1" w:val="04A0"/>
        <w:tblBorders>
          <w:top w:val="nil"/>
          <w:left w:val="nil"/>
          <w:bottom w:val="nil"/>
          <w:right w:val="nil"/>
          <w:insideH w:val="nil"/>
          <w:insideV w:val="nil"/>
        </w:tblBorders>
      </w:tblPr>
      <w:tblGrid>
        <w:gridCol w:w="10092"/>
      </w:tblGrid>
      <w:tr>
        <w:tc>
          <w:tcPr>
            <w:tcW w:type="dxa" w:w="10092"/>
            <w:shd w:fill="F7F2E8" w:val="clear"/>
            <w:tcBorders>
              <w:top w:val="single" w:sz="8" w:color="C6A15B" w:space="0"/>
              <w:left w:val="single" w:sz="8" w:color="C6A15B" w:space="0"/>
              <w:bottom w:val="single" w:sz="8" w:color="C6A15B" w:space="0"/>
              <w:right w:val="single" w:sz="8" w:color="C6A15B" w:space="0"/>
            </w:tcBorders>
            <w:tcMar>
              <w:top w:w="140" w:type="dxa"/>
              <w:bottom w:w="140" w:type="dxa"/>
              <w:left w:w="200" w:type="dxa"/>
              <w:right w:w="200" w:type="dxa"/>
            </w:tcMar>
          </w:tcPr>
          <w:p>
            <w:pPr>
              <w:spacing w:after="40" w:before="0" w:line="276" w:lineRule="auto"/>
              <w:bidi w:val="1"/>
              <w:jc w:val="right"/>
            </w:pPr>
            <w:r>
              <w:rPr>
                <w:rFonts w:ascii="Calibri" w:hAnsi="Calibri" w:cs="Noto Sans Arabic" w:eastAsia="Noto Sans Arabic"/>
                <w:b/>
                <w:i w:val="0"/>
                <w:color w:val="0E2433"/>
                <w:sz w:val="22"/>
                <w:rtl/>
                <w:cs/>
              </w:rPr>
              <w:t>15.  Nightingale — Data Visualization Society</w:t>
            </w:r>
          </w:p>
          <w:p>
            <w:pPr>
              <w:spacing w:after="40" w:before="0" w:line="276" w:lineRule="auto"/>
              <w:bidi w:val="1"/>
              <w:jc w:val="right"/>
            </w:pPr>
            <w:r>
              <w:rPr>
                <w:rFonts w:ascii="Calibri" w:hAnsi="Calibri" w:cs="Noto Naskh Arabic" w:eastAsia="Noto Naskh Arabic"/>
                <w:b w:val="0"/>
                <w:i w:val="0"/>
                <w:color w:val="1C2833"/>
                <w:sz w:val="22"/>
                <w:rtl/>
                <w:cs/>
              </w:rPr>
              <w:t>مجلة المجتمع المهني: نقاشات أخلاقية، تصميم، وحالات حديثة.</w:t>
            </w:r>
          </w:p>
          <w:p>
            <w:pPr>
              <w:spacing w:after="20" w:before="0" w:line="276" w:lineRule="auto"/>
              <w:bidi w:val="1"/>
              <w:jc w:val="right"/>
            </w:pPr>
            <w:r>
              <w:rPr>
                <w:rFonts w:ascii="Calibri" w:hAnsi="Calibri" w:cs="Calibri" w:eastAsia="Calibri"/>
                <w:b w:val="0"/>
                <w:i w:val="0"/>
                <w:color w:val="2C6E7A"/>
                <w:sz w:val="18"/>
                <w:rtl/>
                <w:cs/>
              </w:rPr>
              <w:t>https://nightingaledvs.com/</w:t>
            </w:r>
          </w:p>
        </w:tc>
      </w:tr>
    </w:tbl>
    <w:p>
      <w:pPr>
        <w:spacing w:after="80" w:before="0" w:line="283" w:lineRule="auto"/>
        <w:bidi w:val="1"/>
        <w:jc w:val="right"/>
      </w:pPr>
      <w:r>
        <w:rPr>
          <w:rFonts w:ascii="Calibri" w:hAnsi="Calibri" w:cs="Noto Naskh Arabic" w:eastAsia="Noto Naskh Arabic"/>
          <w:b w:val="0"/>
          <w:i w:val="0"/>
          <w:color w:val="1C2833"/>
          <w:sz w:val="8"/>
          <w:rtl/>
          <w:cs/>
        </w:rPr>
      </w:r>
    </w:p>
    <w:p>
      <w:pPr>
        <w:spacing w:after="120" w:before="160" w:line="283" w:lineRule="auto"/>
        <w:bidi w:val="1"/>
        <w:jc w:val="right"/>
      </w:pPr>
      <w:r>
        <w:rPr>
          <w:rFonts w:ascii="Calibri" w:hAnsi="Calibri" w:cs="Noto Sans Arabic" w:eastAsia="Noto Sans Arabic"/>
          <w:b/>
          <w:i w:val="0"/>
          <w:color w:val="0E2433"/>
          <w:sz w:val="26"/>
          <w:rtl/>
          <w:cs/>
        </w:rPr>
        <w:t>مصادر عربية مساندة</w:t>
      </w:r>
    </w:p>
    <w:p>
      <w:pPr>
        <w:spacing w:after="160" w:before="0" w:line="283" w:lineRule="auto"/>
        <w:bidi w:val="1"/>
        <w:jc w:val="right"/>
      </w:pPr>
      <w:r>
        <w:rPr>
          <w:rFonts w:ascii="Calibri" w:hAnsi="Calibri" w:cs="Noto Naskh Arabic" w:eastAsia="Noto Naskh Arabic"/>
          <w:b w:val="0"/>
          <w:i w:val="0"/>
          <w:color w:val="1C2833"/>
          <w:sz w:val="24"/>
          <w:rtl/>
          <w:cs/>
        </w:rPr>
        <w:t>الكتالوج العربي المتخصص في «اختيار الرسم» ما زال أضعف من الإنجليزي. المقالات العربية المفيدة تشرح الأنواع الإحصائية الأساسية (أعمدة، خطوط، دوائر، مدرج، صندوق، تبعثر) ضمن مناهج الإحصاء، لكنها نادراً ما تغطي Sankey أو Ridgeline أو Bullet. لذلك بُني هذا الأطلس ليكون مرجعاً عربي اللغة بمعيار المصدر العالمي، لا تلخيصاً لمدوّنات عامة.</w:t>
      </w:r>
    </w:p>
    <w:p>
      <w:pPr>
        <w:spacing w:after="200" w:before="0" w:line="283" w:lineRule="auto"/>
        <w:bidi w:val="1"/>
        <w:jc w:val="right"/>
      </w:pPr>
      <w:r>
        <w:rPr>
          <w:rFonts w:ascii="Calibri" w:hAnsi="Calibri" w:cs="Noto Naskh Arabic" w:eastAsia="Noto Naskh Arabic"/>
          <w:b w:val="0"/>
          <w:i w:val="0"/>
          <w:color w:val="1C2833"/>
          <w:sz w:val="24"/>
          <w:rtl/>
          <w:cs/>
        </w:rPr>
        <w:t>من المواد العربية المفيدة كمقدّمات صفّية: شروح أنواع العيّنات والرسوم في منصات البحث الأكاديمي العربية، ومقررات تصوّر البيانات التي تستخدم Matplotlib/Seaborn. لا تغني عن FT Visual Vocabulary أو From Data to Viz عند اتخاذ قرار التصميم.</w:t>
      </w:r>
    </w:p>
    <w:p>
      <w:pPr>
        <w:spacing w:after="120" w:before="0" w:line="283" w:lineRule="auto"/>
        <w:bidi w:val="1"/>
        <w:jc w:val="right"/>
      </w:pPr>
      <w:r>
        <w:rPr>
          <w:rFonts w:ascii="Calibri" w:hAnsi="Calibri" w:cs="Noto Sans Arabic" w:eastAsia="Noto Sans Arabic"/>
          <w:b/>
          <w:i w:val="0"/>
          <w:color w:val="0E2433"/>
          <w:sz w:val="26"/>
          <w:rtl/>
          <w:cs/>
        </w:rPr>
        <w:t>حدود هذا الأطلس</w:t>
      </w:r>
    </w:p>
    <w:p>
      <w:pPr>
        <w:spacing w:after="160" w:before="0" w:line="283" w:lineRule="auto"/>
        <w:bidi w:val="1"/>
        <w:jc w:val="right"/>
      </w:pPr>
      <w:r>
        <w:rPr>
          <w:rFonts w:ascii="Calibri" w:hAnsi="Calibri" w:cs="Noto Naskh Arabic" w:eastAsia="Noto Naskh Arabic"/>
          <w:b w:val="0"/>
          <w:i w:val="0"/>
          <w:color w:val="1C2833"/>
          <w:sz w:val="24"/>
          <w:rtl/>
          <w:cs/>
        </w:rPr>
        <w:t>الرسوم هنا نماذج تحريرية مولَّدة، ليست بيانات حقيقية. الخرائط تخطيطية لا إسقاطاً جغرافياً. بعض الأنواع النادرة جداً (Chernoff faces، Kagi، Renko، Cartogram الديموغرافي الحقيقي) أُشير إلى وجودها في Data Viz Project دون إثقال الأطلس بها. إذا احتجت نوعاً غير موجود، ابدأ من data-to-viz.com حسب شكل جدولك.</w:t>
      </w:r>
    </w:p>
    <w:tbl>
      <w:tblPr>
        <w:tblW w:type="auto" w:w="0"/>
        <w:tblLayout w:type="autofit"/>
        <w:tblLook w:firstColumn="1" w:firstRow="1" w:lastColumn="0" w:lastRow="0" w:noHBand="0" w:noVBand="1" w:val="04A0"/>
        <w:tblBorders>
          <w:top w:val="nil"/>
          <w:left w:val="nil"/>
          <w:bottom w:val="nil"/>
          <w:right w:val="nil"/>
          <w:insideH w:val="nil"/>
          <w:insideV w:val="nil"/>
        </w:tblBorders>
      </w:tblPr>
      <w:tblGrid>
        <w:gridCol w:w="10092"/>
      </w:tblGrid>
      <w:tr>
        <w:trPr>
          <w:trHeight w:val="80" w:hRule="exact"/>
        </w:trPr>
        <w:tc>
          <w:tcPr>
            <w:tcW w:type="dxa" w:w="10092"/>
            <w:shd w:fill="C6A15B" w:val="clear"/>
            <w:tcMar>
              <w:top w:w="0" w:type="dxa"/>
              <w:bottom w:w="0" w:type="dxa"/>
              <w:left w:w="0" w:type="dxa"/>
              <w:right w:w="0" w:type="dxa"/>
            </w:tcMar>
          </w:tcPr>
          <w:p>
            <w:pPr>
              <w:spacing w:after="0" w:before="0" w:line="276" w:lineRule="auto"/>
              <w:bidi w:val="1"/>
              <w:jc w:val="right"/>
            </w:pPr>
            <w:r>
              <w:rPr>
                <w:rFonts w:ascii="Calibri" w:hAnsi="Calibri" w:cs="Noto Naskh Arabic" w:eastAsia="Noto Naskh Arabic"/>
                <w:b w:val="0"/>
                <w:i w:val="0"/>
                <w:color w:val="1C2833"/>
                <w:sz w:val="4"/>
                <w:rtl/>
                <w:cs/>
              </w:rPr>
            </w:r>
          </w:p>
        </w:tc>
      </w:tr>
    </w:tbl>
    <w:p>
      <w:pPr>
        <w:spacing w:after="120" w:before="240" w:line="283" w:lineRule="auto"/>
        <w:bidi w:val="1"/>
        <w:jc w:val="center"/>
      </w:pPr>
      <w:r>
        <w:rPr>
          <w:rFonts w:ascii="Calibri" w:hAnsi="Calibri" w:cs="Noto Naskh Arabic" w:eastAsia="Noto Naskh Arabic"/>
          <w:b w:val="0"/>
          <w:i w:val="0"/>
          <w:color w:val="5B6570"/>
          <w:sz w:val="20"/>
          <w:rtl/>
          <w:cs/>
        </w:rPr>
        <w:t>أطلس المفردات البصرية  ·  تحرير عربي بمعيار Visual Vocabulary  ·  2026</w:t>
      </w:r>
    </w:p>
    <w:p>
      <w:pPr>
        <w:spacing w:after="120" w:before="0" w:line="283" w:lineRule="auto"/>
        <w:bidi w:val="1"/>
        <w:jc w:val="center"/>
      </w:pPr>
      <w:r>
        <w:rPr>
          <w:rFonts w:ascii="Calibri" w:hAnsi="Calibri" w:cs="Noto Naskh Arabic" w:eastAsia="Noto Naskh Arabic"/>
          <w:b w:val="0"/>
          <w:i w:val="0"/>
          <w:color w:val="5B6570"/>
          <w:sz w:val="18"/>
          <w:rtl/>
          <w:cs/>
        </w:rPr>
        <w:t>للاستخدام التعليمي والمهني. انسب الفضل للمراجع الأصلية عند إعادة النشر.</w:t>
      </w:r>
    </w:p>
    <w:sectPr w:rsidR="00FC693F" w:rsidRPr="0006063C" w:rsidSect="00034616">
      <w:headerReference w:type="first" r:id="rId9"/>
      <w:footerReference w:type="first" r:id="rId10"/>
      <w:headerReference w:type="default" r:id="rId11"/>
      <w:footerReference w:type="default" r:id="rId12"/>
      <w:pgSz w:w="11906" w:h="16838"/>
      <w:pgMar w:top="794" w:right="907" w:bottom="850" w:left="907" w:header="340" w:footer="340" w:gutter="0"/>
      <w:cols w:space="720"/>
      <w:docGrid w:linePitch="360"/>
      <w:titlePg/>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
      <w:rPr>
        <w:rFonts w:ascii="Calibri" w:hAnsi="Calibri" w:cs="Noto Naskh Arabic" w:eastAsia="Noto Naskh Arabic"/>
        <w:b w:val="0"/>
        <w:i w:val="0"/>
        <w:color w:val="5B6570"/>
        <w:sz w:val="16"/>
        <w:rtl/>
        <w:cs/>
      </w:rPr>
      <w:t xml:space="preserve">صفحة  </w:t>
    </w:r>
    <w:r>
      <w:rPr>
        <w:color w:val="5B6570"/>
        <w:sz w:val="16"/>
      </w:rPr>
      <w:fldChar w:fldCharType="begin"/>
      <w:instrText xml:space="preserve"> PAGE </w:instrText>
      <w:fldChar w:fldCharType="end"/>
    </w:r>
    <w:r>
      <w:rPr>
        <w:rFonts w:ascii="Calibri" w:hAnsi="Calibri" w:cs="Calibri" w:eastAsia="Calibri"/>
        <w:b w:val="0"/>
        <w:i w:val="0"/>
        <w:color w:val="5B6570"/>
        <w:sz w:val="16"/>
        <w:rtl/>
        <w:cs/>
      </w:rPr>
      <w:t xml:space="preserve">  |  مصادر: FT Visual Vocabulary · From Data to Viz · Data Viz Catalogue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spacing w:after="40"/>
      <w:jc w:val="center"/>
    </w:pPr>
    <w:r/>
    <w:r>
      <w:rPr>
        <w:rFonts w:ascii="Calibri" w:hAnsi="Calibri" w:cs="Noto Sans Arabic" w:eastAsia="Noto Sans Arabic"/>
        <w:b w:val="0"/>
        <w:i w:val="0"/>
        <w:color w:val="C6A15B"/>
        <w:sz w:val="16"/>
        <w:rtl/>
        <w:cs/>
      </w:rPr>
      <w:t>أطلس المفردات البصرية  ·  Visual Vocabulary Atlas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Noto Naskh Arabic" w:eastAsia="Noto Naskh Arabic"/>
      <w:color w:val="1C2833"/>
      <w:sz w:val="24"/>
    </w:rPr>
    <w:pPr>
      <w:bidi w:val="1"/>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