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c wpg wpi wps">
  <w:body>
    <w:p>
      <w:pPr>
        <w:pStyle w:val="Title"/>
        <w:jc w:val="center"/>
        <w:spacing w:before="0" w:after="160"/>
      </w:pPr>
      <w:r>
        <w:t xml:space="preserve">BEIR Benchmark Progress Report</w:t>
      </w:r>
    </w:p>
    <w:p>
      <w:pPr>
        <w:pStyle w:val="Subtitle"/>
        <w:jc w:val="center"/>
        <w:spacing w:before="0" w:after="420"/>
      </w:pPr>
      <w:r>
        <w:t xml:space="preserve">Deployable Knowledge — Public-Comparable SciFact Evaluation</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2600"/>
        <w:gridCol w:w="6300"/>
      </w:tblGrid>
      <w:tr>
        <w:tc>
          <w:tcPr>
            <w:tcW w:w="2600" w:type="dxa"/>
            <w:shd w:fill="1F4E78"/>
          </w:tcPr>
          <w:p>
            <w:pPr>
              <w:jc w:val="left"/>
              <w:spacing w:before="0" w:after="0"/>
            </w:pPr>
            <w:r>
              <w:rPr>
                <w:b/>
                <w:color w:val="FFFFFF"/>
              </w:rPr>
              <w:t xml:space="preserve">Report field</w:t>
            </w:r>
          </w:p>
        </w:tc>
        <w:tc>
          <w:tcPr>
            <w:tcW w:w="6300" w:type="dxa"/>
            <w:shd w:fill="1F4E78"/>
          </w:tcPr>
          <w:p>
            <w:pPr>
              <w:jc w:val="left"/>
              <w:spacing w:before="0" w:after="0"/>
            </w:pPr>
            <w:r>
              <w:rPr>
                <w:b/>
                <w:color w:val="FFFFFF"/>
              </w:rPr>
              <w:t xml:space="preserve">Value</w:t>
            </w:r>
          </w:p>
        </w:tc>
      </w:tr>
      <w:tr>
        <w:tc>
          <w:tcPr>
            <w:tcW w:w="2600" w:type="dxa"/>
          </w:tcPr>
          <w:p>
            <w:pPr>
              <w:jc w:val="left"/>
              <w:spacing w:before="0" w:after="0"/>
            </w:pPr>
            <w:r>
              <w:t xml:space="preserve">Reporting period</w:t>
            </w:r>
          </w:p>
        </w:tc>
        <w:tc>
          <w:tcPr>
            <w:tcW w:w="6300" w:type="dxa"/>
          </w:tcPr>
          <w:p>
            <w:pPr>
              <w:jc w:val="left"/>
              <w:spacing w:before="0" w:after="0"/>
            </w:pPr>
            <w:r>
              <w:t xml:space="preserve">September 14–15, 2026</w:t>
            </w:r>
          </w:p>
        </w:tc>
      </w:tr>
      <w:tr>
        <w:tc>
          <w:tcPr>
            <w:tcW w:w="2600" w:type="dxa"/>
            <w:shd w:fill="EAF2F8"/>
          </w:tcPr>
          <w:p>
            <w:pPr>
              <w:jc w:val="left"/>
              <w:spacing w:before="0" w:after="0"/>
            </w:pPr>
            <w:r>
              <w:t xml:space="preserve">Prepared on</w:t>
            </w:r>
          </w:p>
        </w:tc>
        <w:tc>
          <w:tcPr>
            <w:tcW w:w="6300" w:type="dxa"/>
            <w:shd w:fill="EAF2F8"/>
          </w:tcPr>
          <w:p>
            <w:pPr>
              <w:jc w:val="left"/>
              <w:spacing w:before="0" w:after="0"/>
            </w:pPr>
            <w:r>
              <w:t xml:space="preserve">September 15, 2026</w:t>
            </w:r>
          </w:p>
        </w:tc>
      </w:tr>
      <w:tr>
        <w:tc>
          <w:tcPr>
            <w:tcW w:w="2600" w:type="dxa"/>
          </w:tcPr>
          <w:p>
            <w:pPr>
              <w:jc w:val="left"/>
              <w:spacing w:before="0" w:after="0"/>
            </w:pPr>
            <w:r>
              <w:t xml:space="preserve">Repository branch</w:t>
            </w:r>
          </w:p>
        </w:tc>
        <w:tc>
          <w:tcPr>
            <w:tcW w:w="6300" w:type="dxa"/>
          </w:tcPr>
          <w:p>
            <w:pPr>
              <w:jc w:val="left"/>
              <w:spacing w:before="0" w:after="0"/>
            </w:pPr>
            <w:r>
              <w:t xml:space="preserve">feature/beir-harness</w:t>
            </w:r>
          </w:p>
        </w:tc>
      </w:tr>
      <w:tr>
        <w:tc>
          <w:tcPr>
            <w:tcW w:w="2600" w:type="dxa"/>
            <w:shd w:fill="EAF2F8"/>
          </w:tcPr>
          <w:p>
            <w:pPr>
              <w:jc w:val="left"/>
              <w:spacing w:before="0" w:after="0"/>
            </w:pPr>
            <w:r>
              <w:t xml:space="preserve">Benchmark protocol</w:t>
            </w:r>
          </w:p>
        </w:tc>
        <w:tc>
          <w:tcPr>
            <w:tcW w:w="6300" w:type="dxa"/>
            <w:shd w:fill="EAF2F8"/>
          </w:tcPr>
          <w:p>
            <w:pPr>
              <w:jc w:val="left"/>
              <w:spacing w:before="0" w:after="0"/>
            </w:pPr>
            <w:r>
              <w:t xml:space="preserve">scifact-full-test-v1 with document-depth-amendment-v2</w:t>
            </w:r>
          </w:p>
        </w:tc>
      </w:tr>
      <w:tr>
        <w:tc>
          <w:tcPr>
            <w:tcW w:w="2600" w:type="dxa"/>
          </w:tcPr>
          <w:p>
            <w:pPr>
              <w:jc w:val="left"/>
              <w:spacing w:before="0" w:after="0"/>
            </w:pPr>
            <w:r>
              <w:t xml:space="preserve">Final run</w:t>
            </w:r>
          </w:p>
        </w:tc>
        <w:tc>
          <w:tcPr>
            <w:tcW w:w="6300" w:type="dxa"/>
          </w:tcPr>
          <w:p>
            <w:pPr>
              <w:jc w:val="left"/>
              <w:spacing w:before="0" w:after="0"/>
            </w:pPr>
            <w:r>
              <w:t xml:space="preserve">scifact-full-test-v3</w:t>
            </w:r>
          </w:p>
        </w:tc>
      </w:tr>
      <w:tr>
        <w:tc>
          <w:tcPr>
            <w:tcW w:w="2600" w:type="dxa"/>
            <w:shd w:fill="EAF2F8"/>
          </w:tcPr>
          <w:p>
            <w:pPr>
              <w:jc w:val="left"/>
              <w:spacing w:before="0" w:after="0"/>
            </w:pPr>
            <w:r>
              <w:t xml:space="preserve">Overall status</w:t>
            </w:r>
          </w:p>
        </w:tc>
        <w:tc>
          <w:tcPr>
            <w:tcW w:w="6300" w:type="dxa"/>
            <w:shd w:fill="EAF2F8"/>
          </w:tcPr>
          <w:p>
            <w:pPr>
              <w:jc w:val="left"/>
              <w:spacing w:before="0" w:after="0"/>
            </w:pPr>
            <w:r>
              <w:t xml:space="preserve">PASSED</w:t>
            </w:r>
          </w:p>
        </w:tc>
      </w:tr>
    </w:tbl>
    <w:p>
      <w:pPr>
        <w:spacing w:before="0" w:after="50"/>
      </w:pPr>
      <w:r>
        <w:t xml:space="preserve"/>
      </w:r>
    </w:p>
    <w:p>
      <w:pPr>
        <w:pStyle w:val="Heading1"/>
        <w:spacing w:before="0" w:after="120"/>
      </w:pPr>
      <w:r>
        <w:t xml:space="preserve">Purpose</w:t>
      </w:r>
    </w:p>
    <w:p>
      <w:pPr>
        <w:spacing w:before="0" w:after="180"/>
      </w:pPr>
      <w:r>
        <w:t xml:space="preserve">This report documents the work completed since September 14, 2026 to harden the BEIR harness, prepare an isolated SciFact runtime, run the full retrieval evaluation, validate the results independently, and package them for public comparison.</w:t>
      </w:r>
    </w:p>
    <w:p>
      <w:pPr>
        <w:pStyle w:val="IntenseQuote"/>
        <w:spacing w:before="0" w:after="120"/>
      </w:pPr>
      <w:r>
        <w:t xml:space="preserve">The final result covers the complete official BEIR SciFact test collection and is not derived from the earlier 10-query or 20-query exploratory samples.</w:t>
      </w:r>
    </w:p>
    <w:p>
      <w:r>
        <w:br w:type="page"/>
      </w:r>
    </w:p>
    <w:p>
      <w:pPr>
        <w:pStyle w:val="Heading1"/>
        <w:spacing w:before="0" w:after="120"/>
      </w:pPr>
      <w:r>
        <w:t xml:space="preserve">Executive Summary</w:t>
      </w:r>
    </w:p>
    <w:p>
      <w:pPr>
        <w:spacing w:before="0" w:after="120"/>
      </w:pPr>
      <w:r>
        <w:t xml:space="preserve">The project now has a completed full-corpus SciFact benchmark for its BM25, semantic, and hybrid retrieval modes. After two isolated-runtime failures and one exact-document-depth failure were caught safely, a fresh runtime and adaptive chunk over-fetch policy produced a valid 300-query run. Independent BEIR recomputation matched every saved metric.</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3200"/>
        <w:gridCol w:w="5700"/>
      </w:tblGrid>
      <w:tr>
        <w:tc>
          <w:tcPr>
            <w:tcW w:w="3200" w:type="dxa"/>
            <w:shd w:fill="1F4E78"/>
          </w:tcPr>
          <w:p>
            <w:pPr>
              <w:jc w:val="left"/>
              <w:spacing w:before="0" w:after="0"/>
            </w:pPr>
            <w:r>
              <w:rPr>
                <w:b/>
                <w:color w:val="FFFFFF"/>
              </w:rPr>
              <w:t xml:space="preserve">Measure</w:t>
            </w:r>
          </w:p>
        </w:tc>
        <w:tc>
          <w:tcPr>
            <w:tcW w:w="5700" w:type="dxa"/>
            <w:shd w:fill="1F4E78"/>
          </w:tcPr>
          <w:p>
            <w:pPr>
              <w:jc w:val="left"/>
              <w:spacing w:before="0" w:after="0"/>
            </w:pPr>
            <w:r>
              <w:rPr>
                <w:b/>
                <w:color w:val="FFFFFF"/>
              </w:rPr>
              <w:t xml:space="preserve">Final status</w:t>
            </w:r>
          </w:p>
        </w:tc>
      </w:tr>
      <w:tr>
        <w:tc>
          <w:tcPr>
            <w:tcW w:w="3200" w:type="dxa"/>
          </w:tcPr>
          <w:p>
            <w:pPr>
              <w:jc w:val="left"/>
              <w:spacing w:before="0" w:after="0"/>
            </w:pPr>
            <w:r>
              <w:t xml:space="preserve">SciFact corpus</w:t>
            </w:r>
          </w:p>
        </w:tc>
        <w:tc>
          <w:tcPr>
            <w:tcW w:w="5700" w:type="dxa"/>
          </w:tcPr>
          <w:p>
            <w:pPr>
              <w:jc w:val="left"/>
              <w:spacing w:before="0" w:after="0"/>
            </w:pPr>
            <w:r>
              <w:t xml:space="preserve">5,183 documents</w:t>
            </w:r>
          </w:p>
        </w:tc>
      </w:tr>
      <w:tr>
        <w:tc>
          <w:tcPr>
            <w:tcW w:w="3200" w:type="dxa"/>
            <w:shd w:fill="EAF2F8"/>
          </w:tcPr>
          <w:p>
            <w:pPr>
              <w:jc w:val="left"/>
              <w:spacing w:before="0" w:after="0"/>
            </w:pPr>
            <w:r>
              <w:t xml:space="preserve">Test queries</w:t>
            </w:r>
          </w:p>
        </w:tc>
        <w:tc>
          <w:tcPr>
            <w:tcW w:w="5700" w:type="dxa"/>
            <w:shd w:fill="EAF2F8"/>
          </w:tcPr>
          <w:p>
            <w:pPr>
              <w:jc w:val="left"/>
              <w:spacing w:before="0" w:after="0"/>
            </w:pPr>
            <w:r>
              <w:t xml:space="preserve">300 qrels-backed queries; no sampling</w:t>
            </w:r>
          </w:p>
        </w:tc>
      </w:tr>
      <w:tr>
        <w:tc>
          <w:tcPr>
            <w:tcW w:w="3200" w:type="dxa"/>
          </w:tcPr>
          <w:p>
            <w:pPr>
              <w:jc w:val="left"/>
              <w:spacing w:before="0" w:after="0"/>
            </w:pPr>
            <w:r>
              <w:t xml:space="preserve">Qrels</w:t>
            </w:r>
          </w:p>
        </w:tc>
        <w:tc>
          <w:tcPr>
            <w:tcW w:w="5700" w:type="dxa"/>
          </w:tcPr>
          <w:p>
            <w:pPr>
              <w:jc w:val="left"/>
              <w:spacing w:before="0" w:after="0"/>
            </w:pPr>
            <w:r>
              <w:t xml:space="preserve">339 original SciFact test judgments</w:t>
            </w:r>
          </w:p>
        </w:tc>
      </w:tr>
      <w:tr>
        <w:tc>
          <w:tcPr>
            <w:tcW w:w="3200" w:type="dxa"/>
            <w:shd w:fill="EAF2F8"/>
          </w:tcPr>
          <w:p>
            <w:pPr>
              <w:jc w:val="left"/>
              <w:spacing w:before="0" w:after="0"/>
            </w:pPr>
            <w:r>
              <w:t xml:space="preserve">Retrieval systems</w:t>
            </w:r>
          </w:p>
        </w:tc>
        <w:tc>
          <w:tcPr>
            <w:tcW w:w="5700" w:type="dxa"/>
            <w:shd w:fill="EAF2F8"/>
          </w:tcPr>
          <w:p>
            <w:pPr>
              <w:jc w:val="left"/>
              <w:spacing w:before="0" w:after="0"/>
            </w:pPr>
            <w:r>
              <w:t xml:space="preserve">BM25, semantic, hybrid</w:t>
            </w:r>
          </w:p>
        </w:tc>
      </w:tr>
      <w:tr>
        <w:tc>
          <w:tcPr>
            <w:tcW w:w="3200" w:type="dxa"/>
          </w:tcPr>
          <w:p>
            <w:pPr>
              <w:jc w:val="left"/>
              <w:spacing w:before="0" w:after="0"/>
            </w:pPr>
            <w:r>
              <w:t xml:space="preserve">Ranking depth</w:t>
            </w:r>
          </w:p>
        </w:tc>
        <w:tc>
          <w:tcPr>
            <w:tcW w:w="5700" w:type="dxa"/>
          </w:tcPr>
          <w:p>
            <w:pPr>
              <w:jc w:val="left"/>
              <w:spacing w:before="0" w:after="0"/>
            </w:pPr>
            <w:r>
              <w:t xml:space="preserve">10 unique BEIR documents per query and system</w:t>
            </w:r>
          </w:p>
        </w:tc>
      </w:tr>
      <w:tr>
        <w:tc>
          <w:tcPr>
            <w:tcW w:w="3200" w:type="dxa"/>
            <w:shd w:fill="EAF2F8"/>
          </w:tcPr>
          <w:p>
            <w:pPr>
              <w:jc w:val="left"/>
              <w:spacing w:before="0" w:after="0"/>
            </w:pPr>
            <w:r>
              <w:t xml:space="preserve">Application failures/timeouts</w:t>
            </w:r>
          </w:p>
        </w:tc>
        <w:tc>
          <w:tcPr>
            <w:tcW w:w="5700" w:type="dxa"/>
            <w:shd w:fill="EAF2F8"/>
          </w:tcPr>
          <w:p>
            <w:pPr>
              <w:jc w:val="left"/>
              <w:spacing w:before="0" w:after="0"/>
            </w:pPr>
            <w:r>
              <w:t xml:space="preserve">0 / 0</w:t>
            </w:r>
          </w:p>
        </w:tc>
      </w:tr>
      <w:tr>
        <w:tc>
          <w:tcPr>
            <w:tcW w:w="3200" w:type="dxa"/>
          </w:tcPr>
          <w:p>
            <w:pPr>
              <w:jc w:val="left"/>
              <w:spacing w:before="0" w:after="0"/>
            </w:pPr>
            <w:r>
              <w:t xml:space="preserve">Independent metric agreement</w:t>
            </w:r>
          </w:p>
        </w:tc>
        <w:tc>
          <w:tcPr>
            <w:tcW w:w="5700" w:type="dxa"/>
          </w:tcPr>
          <w:p>
            <w:pPr>
              <w:jc w:val="left"/>
              <w:spacing w:before="0" w:after="0"/>
            </w:pPr>
            <w:r>
              <w:t xml:space="preserve">Exact after five-decimal rounding</w:t>
            </w:r>
          </w:p>
        </w:tc>
      </w:tr>
      <w:tr>
        <w:tc>
          <w:tcPr>
            <w:tcW w:w="3200" w:type="dxa"/>
            <w:shd w:fill="EAF2F8"/>
          </w:tcPr>
          <w:p>
            <w:pPr>
              <w:jc w:val="left"/>
              <w:spacing w:before="0" w:after="0"/>
            </w:pPr>
            <w:r>
              <w:t xml:space="preserve">TREC outputs</w:t>
            </w:r>
          </w:p>
        </w:tc>
        <w:tc>
          <w:tcPr>
            <w:tcW w:w="5700" w:type="dxa"/>
            <w:shd w:fill="EAF2F8"/>
          </w:tcPr>
          <w:p>
            <w:pPr>
              <w:jc w:val="left"/>
              <w:spacing w:before="0" w:after="0"/>
            </w:pPr>
            <w:r>
              <w:t xml:space="preserve">3 files; 3,000 lines each</w:t>
            </w:r>
          </w:p>
        </w:tc>
      </w:tr>
      <w:tr>
        <w:tc>
          <w:tcPr>
            <w:tcW w:w="3200" w:type="dxa"/>
          </w:tcPr>
          <w:p>
            <w:pPr>
              <w:jc w:val="left"/>
              <w:spacing w:before="0" w:after="0"/>
            </w:pPr>
            <w:r>
              <w:t xml:space="preserve">Final audit</w:t>
            </w:r>
          </w:p>
        </w:tc>
        <w:tc>
          <w:tcPr>
            <w:tcW w:w="5700" w:type="dxa"/>
          </w:tcPr>
          <w:p>
            <w:pPr>
              <w:jc w:val="left"/>
              <w:spacing w:before="0" w:after="0"/>
            </w:pPr>
            <w:r>
              <w:t xml:space="preserve">Passed</w:t>
            </w:r>
          </w:p>
        </w:tc>
      </w:tr>
    </w:tbl>
    <w:p>
      <w:pPr>
        <w:spacing w:before="0" w:after="50"/>
      </w:pPr>
      <w:r>
        <w:t xml:space="preserve"/>
      </w:r>
    </w:p>
    <w:p>
      <w:pPr>
        <w:pStyle w:val="Heading2"/>
        <w:spacing w:before="0" w:after="120"/>
      </w:pPr>
      <w:r>
        <w:t xml:space="preserve">Key finding</w:t>
      </w:r>
    </w:p>
    <w:p>
      <w:pPr>
        <w:spacing w:before="0" w:after="120"/>
      </w:pPr>
      <w:r>
        <w:t xml:space="preserve">Semantic retrieval was strongest on all five headline metrics. Hybrid retrieval improved consistently over BM25 but did not outperform semantic retrieval on SciFact. This makes hybrid tuning—candidate generation, fusion, or reranking—the clearest next optimization target.</w:t>
      </w:r>
    </w:p>
    <w:p>
      <w:pPr>
        <w:pStyle w:val="Heading1"/>
        <w:spacing w:before="0" w:after="120"/>
      </w:pPr>
      <w:r>
        <w:t xml:space="preserve">Work Completed: September 14, 2026</w:t>
      </w:r>
    </w:p>
    <w:p>
      <w:pPr>
        <w:pStyle w:val="Heading2"/>
        <w:spacing w:before="0" w:after="120"/>
      </w:pPr>
      <w:r>
        <w:t xml:space="preserve">1. Public-comparison protocol frozen</w:t>
      </w:r>
    </w:p>
    <w:p>
      <w:pPr>
        <w:spacing w:before="0" w:after="55"/>
        <w:ind w:left="360" w:hanging="360"/>
      </w:pPr>
      <w:r>
        <w:t xml:space="preserve">• Official BEIR SciFact test split selected.</w:t>
      </w:r>
    </w:p>
    <w:p>
      <w:pPr>
        <w:spacing w:before="0" w:after="55"/>
        <w:ind w:left="360" w:hanging="360"/>
      </w:pPr>
      <w:r>
        <w:t xml:space="preserve">• All 5,183 documents and all 300 qrels-backed test queries included.</w:t>
      </w:r>
    </w:p>
    <w:p>
      <w:pPr>
        <w:spacing w:before="0" w:after="55"/>
        <w:ind w:left="360" w:hanging="360"/>
      </w:pPr>
      <w:r>
        <w:t xml:space="preserve">• Original qrels retained without relevance modification.</w:t>
      </w:r>
    </w:p>
    <w:p>
      <w:pPr>
        <w:spacing w:before="0" w:after="55"/>
        <w:ind w:left="360" w:hanging="360"/>
      </w:pPr>
      <w:r>
        <w:t xml:space="preserve">• Evaluation defined at BEIR document level rather than application chunk level.</w:t>
      </w:r>
    </w:p>
    <w:p>
      <w:pPr>
        <w:spacing w:before="0" w:after="55"/>
        <w:ind w:left="360" w:hanging="360"/>
      </w:pPr>
      <w:r>
        <w:t xml:space="preserve">• nDCG@10 selected as the primary metric; Recall, MRR, MAP, and Precision retained as secondary metrics.</w:t>
      </w:r>
    </w:p>
    <w:p>
      <w:pPr>
        <w:spacing w:before="0" w:after="55"/>
        <w:ind w:left="360" w:hanging="360"/>
      </w:pPr>
      <w:r>
        <w:t xml:space="preserve">• Semantic, BM25, and hybrid application systems included under one shared evaluator.</w:t>
      </w:r>
    </w:p>
    <w:p>
      <w:pPr>
        <w:pStyle w:val="IntenseQuote"/>
        <w:spacing w:before="0" w:after="120"/>
      </w:pPr>
      <w:r>
        <w:t xml:space="preserve">Protocol SHA-256: 395f321e17a2ef6a5c3638478a1979d560a4dbd028e5b6e619f9707f7ccd9e15</w:t>
      </w:r>
    </w:p>
    <w:p>
      <w:pPr>
        <w:pStyle w:val="Heading2"/>
        <w:spacing w:before="0" w:after="120"/>
      </w:pPr>
      <w:r>
        <w:t xml:space="preserve">2. Benchmark runner hardened</w:t>
      </w:r>
    </w:p>
    <w:p>
      <w:pPr>
        <w:spacing w:before="0" w:after="55"/>
        <w:ind w:left="360" w:hanging="360"/>
      </w:pPr>
      <w:r>
        <w:t xml:space="preserve">• Separated search and ingestion timeouts.</w:t>
      </w:r>
    </w:p>
    <w:p>
      <w:pPr>
        <w:spacing w:before="0" w:after="55"/>
        <w:ind w:left="360" w:hanging="360"/>
      </w:pPr>
      <w:r>
        <w:t xml:space="preserve">• Rejected malformed Markdown-style base URLs.</w:t>
      </w:r>
    </w:p>
    <w:p>
      <w:pPr>
        <w:spacing w:before="0" w:after="55"/>
        <w:ind w:left="360" w:hanging="360"/>
      </w:pPr>
      <w:r>
        <w:t xml:space="preserve">• Added deterministic all-query selection and public-protocol guards.</w:t>
      </w:r>
    </w:p>
    <w:p>
      <w:pPr>
        <w:spacing w:before="0" w:after="55"/>
        <w:ind w:left="360" w:hanging="360"/>
      </w:pPr>
      <w:r>
        <w:t xml:space="preserve">• Added atomic JSON/JSONL writes, per-query checkpoints, interrupted-run resume, and retry handling.</w:t>
      </w:r>
    </w:p>
    <w:p>
      <w:pPr>
        <w:spacing w:before="0" w:after="55"/>
        <w:ind w:left="360" w:hanging="360"/>
      </w:pPr>
      <w:r>
        <w:t xml:space="preserve">• Added existing-run protection and safe available-port selection.</w:t>
      </w:r>
    </w:p>
    <w:p>
      <w:pPr>
        <w:spacing w:before="0" w:after="55"/>
        <w:ind w:left="360" w:hanging="360"/>
      </w:pPr>
      <w:r>
        <w:t xml:space="preserve">• Validated exact method coverage, document mappings, and result depth.</w:t>
      </w:r>
    </w:p>
    <w:p>
      <w:pPr>
        <w:spacing w:before="0" w:after="55"/>
        <w:ind w:left="360" w:hanging="360"/>
      </w:pPr>
      <w:r>
        <w:t xml:space="preserve">• Added reuse of a validated document mapping so later runs can skip ingestion.</w:t>
      </w:r>
    </w:p>
    <w:p>
      <w:pPr>
        <w:spacing w:before="0" w:after="55"/>
        <w:ind w:left="360" w:hanging="360"/>
      </w:pPr>
      <w:r>
        <w:t xml:space="preserve">• Added adaptive chunk retrieval to obtain ten unique BEIR documents when duplicate chunks occur.</w:t>
      </w:r>
    </w:p>
    <w:p>
      <w:pPr>
        <w:pStyle w:val="Heading2"/>
        <w:spacing w:before="0" w:after="120"/>
      </w:pPr>
      <w:r>
        <w:t xml:space="preserve">3. Accidental overlapping execution stopped and reverted</w:t>
      </w:r>
    </w:p>
    <w:p>
      <w:pPr>
        <w:spacing w:before="0" w:after="120"/>
      </w:pPr>
      <w:r>
        <w:t xml:space="preserve">A task intended for Luna was accidentally pasted into the primary agent while Luna was also operating. The primary-agent execution was stopped on request, its attributable changes and partial artifacts were reverted, and unrelated pre-existing work was preserved. Luna subsequently completed the intended harness changes.</w:t>
      </w:r>
    </w:p>
    <w:p>
      <w:pPr>
        <w:pStyle w:val="Heading2"/>
        <w:spacing w:before="0" w:after="120"/>
      </w:pPr>
      <w:r>
        <w:t xml:space="preserve">4. Initial isolated-runtime failures handled safely</w:t>
      </w:r>
    </w:p>
    <w:p>
      <w:pPr>
        <w:spacing w:before="0" w:after="55"/>
        <w:ind w:left="360" w:hanging="360"/>
      </w:pPr>
      <w:r>
        <w:t xml:space="preserve">• The first runtime encountered a migration collision involving an existing api_keys table.</w:t>
      </w:r>
    </w:p>
    <w:p>
      <w:pPr>
        <w:spacing w:before="0" w:after="55"/>
        <w:ind w:left="360" w:hanging="360"/>
      </w:pPr>
      <w:r>
        <w:t xml:space="preserve">• A later attempt encountered a zero-byte app.db without migration tables.</w:t>
      </w:r>
    </w:p>
    <w:p>
      <w:pPr>
        <w:spacing w:before="0" w:after="55"/>
        <w:ind w:left="360" w:hanging="360"/>
      </w:pPr>
      <w:r>
        <w:t xml:space="preserve">• Safety gates stopped both attempts before they could produce misleading benchmark results.</w:t>
      </w:r>
    </w:p>
    <w:p>
      <w:pPr>
        <w:spacing w:before="0" w:after="55"/>
        <w:ind w:left="360" w:hanging="360"/>
      </w:pPr>
      <w:r>
        <w:t xml:space="preserve">• The invalid runtime-scifact-public-v1 artifacts were excluded from the final result.</w:t>
      </w:r>
    </w:p>
    <w:p>
      <w:pPr>
        <w:pStyle w:val="Heading2"/>
        <w:spacing w:before="0" w:after="120"/>
      </w:pPr>
      <w:r>
        <w:t xml:space="preserve">5. Fresh v2 runtime prepared successfully</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3600"/>
        <w:gridCol w:w="5300"/>
      </w:tblGrid>
      <w:tr>
        <w:tc>
          <w:tcPr>
            <w:tcW w:w="3600" w:type="dxa"/>
            <w:shd w:fill="1F4E78"/>
          </w:tcPr>
          <w:p>
            <w:pPr>
              <w:jc w:val="left"/>
              <w:spacing w:before="0" w:after="0"/>
            </w:pPr>
            <w:r>
              <w:rPr>
                <w:b/>
                <w:color w:val="FFFFFF"/>
              </w:rPr>
              <w:t xml:space="preserve">Preparation measure</w:t>
            </w:r>
          </w:p>
        </w:tc>
        <w:tc>
          <w:tcPr>
            <w:tcW w:w="5300" w:type="dxa"/>
            <w:shd w:fill="1F4E78"/>
          </w:tcPr>
          <w:p>
            <w:pPr>
              <w:jc w:val="left"/>
              <w:spacing w:before="0" w:after="0"/>
            </w:pPr>
            <w:r>
              <w:rPr>
                <w:b/>
                <w:color w:val="FFFFFF"/>
              </w:rPr>
              <w:t xml:space="preserve">Result</w:t>
            </w:r>
          </w:p>
        </w:tc>
      </w:tr>
      <w:tr>
        <w:tc>
          <w:tcPr>
            <w:tcW w:w="3600" w:type="dxa"/>
          </w:tcPr>
          <w:p>
            <w:pPr>
              <w:jc w:val="left"/>
              <w:spacing w:before="0" w:after="0"/>
            </w:pPr>
            <w:r>
              <w:t xml:space="preserve">Runtime</w:t>
            </w:r>
          </w:p>
        </w:tc>
        <w:tc>
          <w:tcPr>
            <w:tcW w:w="5300" w:type="dxa"/>
          </w:tcPr>
          <w:p>
            <w:pPr>
              <w:jc w:val="left"/>
              <w:spacing w:before="0" w:after="0"/>
            </w:pPr>
            <w:r>
              <w:t xml:space="preserve">.cache/beir/runtime-scifact-public-v2</w:t>
            </w:r>
          </w:p>
        </w:tc>
      </w:tr>
      <w:tr>
        <w:tc>
          <w:tcPr>
            <w:tcW w:w="3600" w:type="dxa"/>
            <w:shd w:fill="EAF2F8"/>
          </w:tcPr>
          <w:p>
            <w:pPr>
              <w:jc w:val="left"/>
              <w:spacing w:before="0" w:after="0"/>
            </w:pPr>
            <w:r>
              <w:t xml:space="preserve">Documents ingested</w:t>
            </w:r>
          </w:p>
        </w:tc>
        <w:tc>
          <w:tcPr>
            <w:tcW w:w="5300" w:type="dxa"/>
            <w:shd w:fill="EAF2F8"/>
          </w:tcPr>
          <w:p>
            <w:pPr>
              <w:jc w:val="left"/>
              <w:spacing w:before="0" w:after="0"/>
            </w:pPr>
            <w:r>
              <w:t xml:space="preserve">5,183</w:t>
            </w:r>
          </w:p>
        </w:tc>
      </w:tr>
      <w:tr>
        <w:tc>
          <w:tcPr>
            <w:tcW w:w="3600" w:type="dxa"/>
          </w:tcPr>
          <w:p>
            <w:pPr>
              <w:jc w:val="left"/>
              <w:spacing w:before="0" w:after="0"/>
            </w:pPr>
            <w:r>
              <w:t xml:space="preserve">BEIR → application mappings</w:t>
            </w:r>
          </w:p>
        </w:tc>
        <w:tc>
          <w:tcPr>
            <w:tcW w:w="5300" w:type="dxa"/>
          </w:tcPr>
          <w:p>
            <w:pPr>
              <w:jc w:val="left"/>
              <w:spacing w:before="0" w:after="0"/>
            </w:pPr>
            <w:r>
              <w:t xml:space="preserve">5,183</w:t>
            </w:r>
          </w:p>
        </w:tc>
      </w:tr>
      <w:tr>
        <w:tc>
          <w:tcPr>
            <w:tcW w:w="3600" w:type="dxa"/>
            <w:shd w:fill="EAF2F8"/>
          </w:tcPr>
          <w:p>
            <w:pPr>
              <w:jc w:val="left"/>
              <w:spacing w:before="0" w:after="0"/>
            </w:pPr>
            <w:r>
              <w:t xml:space="preserve">Application → BEIR mappings</w:t>
            </w:r>
          </w:p>
        </w:tc>
        <w:tc>
          <w:tcPr>
            <w:tcW w:w="5300" w:type="dxa"/>
            <w:shd w:fill="EAF2F8"/>
          </w:tcPr>
          <w:p>
            <w:pPr>
              <w:jc w:val="left"/>
              <w:spacing w:before="0" w:after="0"/>
            </w:pPr>
            <w:r>
              <w:t xml:space="preserve">5,183</w:t>
            </w:r>
          </w:p>
        </w:tc>
      </w:tr>
      <w:tr>
        <w:tc>
          <w:tcPr>
            <w:tcW w:w="3600" w:type="dxa"/>
          </w:tcPr>
          <w:p>
            <w:pPr>
              <w:jc w:val="left"/>
              <w:spacing w:before="0" w:after="0"/>
            </w:pPr>
            <w:r>
              <w:t xml:space="preserve">Aliases / skipped / missing judged docs</w:t>
            </w:r>
          </w:p>
        </w:tc>
        <w:tc>
          <w:tcPr>
            <w:tcW w:w="5300" w:type="dxa"/>
          </w:tcPr>
          <w:p>
            <w:pPr>
              <w:jc w:val="left"/>
              <w:spacing w:before="0" w:after="0"/>
            </w:pPr>
            <w:r>
              <w:t xml:space="preserve">0 / 0 / 0</w:t>
            </w:r>
          </w:p>
        </w:tc>
      </w:tr>
      <w:tr>
        <w:tc>
          <w:tcPr>
            <w:tcW w:w="3600" w:type="dxa"/>
            <w:shd w:fill="EAF2F8"/>
          </w:tcPr>
          <w:p>
            <w:pPr>
              <w:jc w:val="left"/>
              <w:spacing w:before="0" w:after="0"/>
            </w:pPr>
            <w:r>
              <w:t xml:space="preserve">Searches during preparation</w:t>
            </w:r>
          </w:p>
        </w:tc>
        <w:tc>
          <w:tcPr>
            <w:tcW w:w="5300" w:type="dxa"/>
            <w:shd w:fill="EAF2F8"/>
          </w:tcPr>
          <w:p>
            <w:pPr>
              <w:jc w:val="left"/>
              <w:spacing w:before="0" w:after="0"/>
            </w:pPr>
            <w:r>
              <w:t xml:space="preserve">0</w:t>
            </w:r>
          </w:p>
        </w:tc>
      </w:tr>
      <w:tr>
        <w:tc>
          <w:tcPr>
            <w:tcW w:w="3600" w:type="dxa"/>
          </w:tcPr>
          <w:p>
            <w:pPr>
              <w:jc w:val="left"/>
              <w:spacing w:before="0" w:after="0"/>
            </w:pPr>
            <w:r>
              <w:t xml:space="preserve">Run state</w:t>
            </w:r>
          </w:p>
        </w:tc>
        <w:tc>
          <w:tcPr>
            <w:tcW w:w="5300" w:type="dxa"/>
          </w:tcPr>
          <w:p>
            <w:pPr>
              <w:jc w:val="left"/>
              <w:spacing w:before="0" w:after="0"/>
            </w:pPr>
            <w:r>
              <w:t xml:space="preserve">prepared</w:t>
            </w:r>
          </w:p>
        </w:tc>
      </w:tr>
    </w:tbl>
    <w:p>
      <w:pPr>
        <w:spacing w:before="0" w:after="50"/>
      </w:pPr>
      <w:r>
        <w:t xml:space="preserve"/>
      </w:r>
    </w:p>
    <w:p>
      <w:pPr>
        <w:pStyle w:val="IntenseQuote"/>
        <w:spacing w:before="0" w:after="120"/>
      </w:pPr>
      <w:r>
        <w:t xml:space="preserve">Mapping SHA-256: 2f151186adc7433b2ce415c01d45965f59a5e6bbfe55f9478bf701b284d41905</w:t>
      </w:r>
    </w:p>
    <w:p>
      <w:pPr>
        <w:pStyle w:val="Heading2"/>
        <w:spacing w:before="0" w:after="120"/>
      </w:pPr>
      <w:r>
        <w:t xml:space="preserve">6. First full retrieval attempt exposed an exact-depth issue</w:t>
      </w:r>
    </w:p>
    <w:p>
      <w:pPr>
        <w:spacing w:before="0" w:after="120"/>
      </w:pPr>
      <w:r>
        <w:t xml:space="preserve">All 300 queries completed without HTTP failures or timeouts. However, hybrid results for queries 598 and 971 contained 20 chunks representing only nine unique documents. BM25 and semantic results had ten unique documents for every query. The public guard correctly blocked metrics generation.</w:t>
      </w:r>
    </w:p>
    <w:p>
      <w:pPr>
        <w:pStyle w:val="Heading2"/>
        <w:spacing w:before="0" w:after="120"/>
      </w:pPr>
      <w:r>
        <w:t xml:space="preserve">7. Adaptive document-depth amendment and v3 run</w:t>
      </w:r>
    </w:p>
    <w:p>
      <w:pPr>
        <w:spacing w:before="0" w:after="120"/>
      </w:pPr>
      <w:r>
        <w:t xml:space="preserve">The harness was amended to begin at 20 chunks and increase depth only when chunk-to-document collapse produced fewer than ten unique documents. The final v3 run reused the validated mapping and performed no reingestion.</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4800"/>
        <w:gridCol w:w="4100"/>
      </w:tblGrid>
      <w:tr>
        <w:tc>
          <w:tcPr>
            <w:tcW w:w="4800" w:type="dxa"/>
            <w:shd w:fill="1F4E78"/>
          </w:tcPr>
          <w:p>
            <w:pPr>
              <w:jc w:val="left"/>
              <w:spacing w:before="0" w:after="0"/>
            </w:pPr>
            <w:r>
              <w:rPr>
                <w:b/>
                <w:color w:val="FFFFFF"/>
              </w:rPr>
              <w:t xml:space="preserve">Method / final HTTP depth</w:t>
            </w:r>
          </w:p>
        </w:tc>
        <w:tc>
          <w:tcPr>
            <w:tcW w:w="4100" w:type="dxa"/>
            <w:shd w:fill="1F4E78"/>
          </w:tcPr>
          <w:p>
            <w:pPr>
              <w:jc w:val="left"/>
              <w:spacing w:before="0" w:after="0"/>
            </w:pPr>
            <w:r>
              <w:rPr>
                <w:b/>
                <w:color w:val="FFFFFF"/>
              </w:rPr>
              <w:t xml:space="preserve">Query count</w:t>
            </w:r>
          </w:p>
        </w:tc>
      </w:tr>
      <w:tr>
        <w:tc>
          <w:tcPr>
            <w:tcW w:w="4800" w:type="dxa"/>
          </w:tcPr>
          <w:p>
            <w:pPr>
              <w:jc w:val="left"/>
              <w:spacing w:before="0" w:after="0"/>
            </w:pPr>
            <w:r>
              <w:t xml:space="preserve">BM25 at 20</w:t>
            </w:r>
          </w:p>
        </w:tc>
        <w:tc>
          <w:tcPr>
            <w:tcW w:w="4100" w:type="dxa"/>
          </w:tcPr>
          <w:p>
            <w:pPr>
              <w:jc w:val="left"/>
              <w:spacing w:before="0" w:after="0"/>
            </w:pPr>
            <w:r>
              <w:t xml:space="preserve">300</w:t>
            </w:r>
          </w:p>
        </w:tc>
      </w:tr>
      <w:tr>
        <w:tc>
          <w:tcPr>
            <w:tcW w:w="4800" w:type="dxa"/>
            <w:shd w:fill="EAF2F8"/>
          </w:tcPr>
          <w:p>
            <w:pPr>
              <w:jc w:val="left"/>
              <w:spacing w:before="0" w:after="0"/>
            </w:pPr>
            <w:r>
              <w:t xml:space="preserve">Semantic at 20</w:t>
            </w:r>
          </w:p>
        </w:tc>
        <w:tc>
          <w:tcPr>
            <w:tcW w:w="4100" w:type="dxa"/>
            <w:shd w:fill="EAF2F8"/>
          </w:tcPr>
          <w:p>
            <w:pPr>
              <w:jc w:val="left"/>
              <w:spacing w:before="0" w:after="0"/>
            </w:pPr>
            <w:r>
              <w:t xml:space="preserve">300</w:t>
            </w:r>
          </w:p>
        </w:tc>
      </w:tr>
      <w:tr>
        <w:tc>
          <w:tcPr>
            <w:tcW w:w="4800" w:type="dxa"/>
          </w:tcPr>
          <w:p>
            <w:pPr>
              <w:jc w:val="left"/>
              <w:spacing w:before="0" w:after="0"/>
            </w:pPr>
            <w:r>
              <w:t xml:space="preserve">Hybrid at 20</w:t>
            </w:r>
          </w:p>
        </w:tc>
        <w:tc>
          <w:tcPr>
            <w:tcW w:w="4100" w:type="dxa"/>
          </w:tcPr>
          <w:p>
            <w:pPr>
              <w:jc w:val="left"/>
              <w:spacing w:before="0" w:after="0"/>
            </w:pPr>
            <w:r>
              <w:t xml:space="preserve">298</w:t>
            </w:r>
          </w:p>
        </w:tc>
      </w:tr>
      <w:tr>
        <w:tc>
          <w:tcPr>
            <w:tcW w:w="4800" w:type="dxa"/>
            <w:shd w:fill="EAF2F8"/>
          </w:tcPr>
          <w:p>
            <w:pPr>
              <w:jc w:val="left"/>
              <w:spacing w:before="0" w:after="0"/>
            </w:pPr>
            <w:r>
              <w:t xml:space="preserve">Hybrid at 40</w:t>
            </w:r>
          </w:p>
        </w:tc>
        <w:tc>
          <w:tcPr>
            <w:tcW w:w="4100" w:type="dxa"/>
            <w:shd w:fill="EAF2F8"/>
          </w:tcPr>
          <w:p>
            <w:pPr>
              <w:jc w:val="left"/>
              <w:spacing w:before="0" w:after="0"/>
            </w:pPr>
            <w:r>
              <w:t xml:space="preserve">2 — queries 598 and 971</w:t>
            </w:r>
          </w:p>
        </w:tc>
      </w:tr>
    </w:tbl>
    <w:p>
      <w:pPr>
        <w:spacing w:before="0" w:after="50"/>
      </w:pPr>
      <w:r>
        <w:t xml:space="preserve"/>
      </w:r>
    </w:p>
    <w:p>
      <w:pPr>
        <w:spacing w:before="0" w:after="120"/>
      </w:pPr>
      <w:r>
        <w:t xml:space="preserve">The valid run completed all 300 searches with zero failures and zero timeouts. Total recorded query time was 831.37 seconds (13 minutes 51 seconds), averaging 2.77 seconds per query with a median of 2.71 seconds. Query 971 was slowest at 7.21 seconds.</w:t>
      </w:r>
    </w:p>
    <w:p>
      <w:r>
        <w:br w:type="page"/>
      </w:r>
    </w:p>
    <w:p>
      <w:pPr>
        <w:pStyle w:val="Heading1"/>
        <w:spacing w:before="0" w:after="120"/>
      </w:pPr>
      <w:r>
        <w:t xml:space="preserve">Work Completed: September 15, 2026</w:t>
      </w:r>
    </w:p>
    <w:p>
      <w:pPr>
        <w:pStyle w:val="Heading2"/>
        <w:spacing w:before="0" w:after="120"/>
      </w:pPr>
      <w:r>
        <w:t xml:space="preserve">8. Independent Step 5 evaluation</w:t>
      </w:r>
    </w:p>
    <w:p>
      <w:pPr>
        <w:spacing w:before="0" w:after="55"/>
        <w:ind w:left="360" w:hanging="360"/>
      </w:pPr>
      <w:r>
        <w:t xml:space="preserve">• All ranking, checkpoint, timing, configuration, and metric artifacts parsed successfully.</w:t>
      </w:r>
    </w:p>
    <w:p>
      <w:pPr>
        <w:spacing w:before="0" w:after="55"/>
        <w:ind w:left="360" w:hanging="360"/>
      </w:pPr>
      <w:r>
        <w:t xml:space="preserve">• All three methods contained 300 rankings with exactly ten unique corpus document IDs each.</w:t>
      </w:r>
    </w:p>
    <w:p>
      <w:pPr>
        <w:spacing w:before="0" w:after="55"/>
        <w:ind w:left="360" w:hanging="360"/>
      </w:pPr>
      <w:r>
        <w:t xml:space="preserve">• Saved rankings were independently evaluated against the original SciFact test qrels.</w:t>
      </w:r>
    </w:p>
    <w:p>
      <w:pPr>
        <w:spacing w:before="0" w:after="55"/>
        <w:ind w:left="360" w:hanging="360"/>
      </w:pPr>
      <w:r>
        <w:t xml:space="preserve">• All recomputed metrics matched the saved values after five-decimal rounding.</w:t>
      </w:r>
    </w:p>
    <w:p>
      <w:pPr>
        <w:spacing w:before="0" w:after="55"/>
        <w:ind w:left="360" w:hanging="360"/>
      </w:pPr>
      <w:r>
        <w:t xml:space="preserve">• The mapping, protocol, and result artifacts were sealed in an external hash manifest.</w:t>
      </w:r>
    </w:p>
    <w:p>
      <w:pPr>
        <w:pStyle w:val="Heading2"/>
        <w:spacing w:before="0" w:after="120"/>
      </w:pPr>
      <w:r>
        <w:t xml:space="preserve">9. Public-comparison package produced</w:t>
      </w:r>
    </w:p>
    <w:p>
      <w:pPr>
        <w:spacing w:before="0" w:after="55"/>
        <w:ind w:left="360" w:hanging="360"/>
      </w:pPr>
      <w:r>
        <w:t xml:space="preserve">• Generated BM25, semantic, and hybrid TREC-format run files.</w:t>
      </w:r>
    </w:p>
    <w:p>
      <w:pPr>
        <w:spacing w:before="0" w:after="55"/>
        <w:ind w:left="360" w:hanging="360"/>
      </w:pPr>
      <w:r>
        <w:t xml:space="preserve">• Each TREC file contains exactly 3,000 lines: 300 queries × 10 documents.</w:t>
      </w:r>
    </w:p>
    <w:p>
      <w:pPr>
        <w:spacing w:before="0" w:after="55"/>
        <w:ind w:left="360" w:hanging="360"/>
      </w:pPr>
      <w:r>
        <w:t xml:space="preserve">• Generated machine-readable and Markdown public-result artifacts.</w:t>
      </w:r>
    </w:p>
    <w:p>
      <w:pPr>
        <w:spacing w:before="0" w:after="55"/>
        <w:ind w:left="360" w:hanging="360"/>
      </w:pPr>
      <w:r>
        <w:t xml:space="preserve">• Kept public comparability claims limited to shared corpus, split, qrels, document unit, and metric definition.</w:t>
      </w:r>
    </w:p>
    <w:p>
      <w:pPr>
        <w:spacing w:before="0" w:after="55"/>
        <w:ind w:left="360" w:hanging="360"/>
      </w:pPr>
      <w:r>
        <w:t xml:space="preserve">• Made no unsupported hybrid leaderboard or architectural-equivalence claim.</w:t>
      </w:r>
    </w:p>
    <w:p>
      <w:pPr>
        <w:pStyle w:val="Heading2"/>
        <w:spacing w:before="0" w:after="120"/>
      </w:pPr>
      <w:r>
        <w:t xml:space="preserve">10. Final audit completed</w:t>
      </w:r>
    </w:p>
    <w:p>
      <w:pPr>
        <w:spacing w:before="0" w:after="120"/>
      </w:pPr>
      <w:r>
        <w:t xml:space="preserve">The final audit records Steps 3–7 as passed, confirms metric and artifact consistency, validates all TREC files, and confirms that no ingestion or retrieval occurred during Steps 5–7.</w:t>
      </w:r>
    </w:p>
    <w:p>
      <w:pPr>
        <w:pStyle w:val="Heading1"/>
        <w:spacing w:before="0" w:after="120"/>
      </w:pPr>
      <w:r>
        <w:t xml:space="preserve">Final SciFact Retrieval Results</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1900"/>
        <w:gridCol w:w="1400"/>
        <w:gridCol w:w="1400"/>
        <w:gridCol w:w="1400"/>
        <w:gridCol w:w="1400"/>
        <w:gridCol w:w="1400"/>
      </w:tblGrid>
      <w:tr>
        <w:tc>
          <w:tcPr>
            <w:tcW w:w="1900" w:type="dxa"/>
            <w:shd w:fill="1F4E78"/>
          </w:tcPr>
          <w:p>
            <w:pPr>
              <w:jc w:val="left"/>
              <w:spacing w:before="0" w:after="0"/>
            </w:pPr>
            <w:r>
              <w:rPr>
                <w:b/>
                <w:color w:val="FFFFFF"/>
              </w:rPr>
              <w:t xml:space="preserve">System</w:t>
            </w:r>
          </w:p>
        </w:tc>
        <w:tc>
          <w:tcPr>
            <w:tcW w:w="1400" w:type="dxa"/>
            <w:shd w:fill="1F4E78"/>
          </w:tcPr>
          <w:p>
            <w:pPr>
              <w:jc w:val="right"/>
              <w:spacing w:before="0" w:after="0"/>
            </w:pPr>
            <w:r>
              <w:rPr>
                <w:b/>
                <w:color w:val="FFFFFF"/>
              </w:rPr>
              <w:t xml:space="preserve">nDCG@10</w:t>
            </w:r>
          </w:p>
        </w:tc>
        <w:tc>
          <w:tcPr>
            <w:tcW w:w="1400" w:type="dxa"/>
            <w:shd w:fill="1F4E78"/>
          </w:tcPr>
          <w:p>
            <w:pPr>
              <w:jc w:val="right"/>
              <w:spacing w:before="0" w:after="0"/>
            </w:pPr>
            <w:r>
              <w:rPr>
                <w:b/>
                <w:color w:val="FFFFFF"/>
              </w:rPr>
              <w:t xml:space="preserve">Recall@10</w:t>
            </w:r>
          </w:p>
        </w:tc>
        <w:tc>
          <w:tcPr>
            <w:tcW w:w="1400" w:type="dxa"/>
            <w:shd w:fill="1F4E78"/>
          </w:tcPr>
          <w:p>
            <w:pPr>
              <w:jc w:val="right"/>
              <w:spacing w:before="0" w:after="0"/>
            </w:pPr>
            <w:r>
              <w:rPr>
                <w:b/>
                <w:color w:val="FFFFFF"/>
              </w:rPr>
              <w:t xml:space="preserve">MRR@10</w:t>
            </w:r>
          </w:p>
        </w:tc>
        <w:tc>
          <w:tcPr>
            <w:tcW w:w="1400" w:type="dxa"/>
            <w:shd w:fill="1F4E78"/>
          </w:tcPr>
          <w:p>
            <w:pPr>
              <w:jc w:val="right"/>
              <w:spacing w:before="0" w:after="0"/>
            </w:pPr>
            <w:r>
              <w:rPr>
                <w:b/>
                <w:color w:val="FFFFFF"/>
              </w:rPr>
              <w:t xml:space="preserve">MAP@10</w:t>
            </w:r>
          </w:p>
        </w:tc>
        <w:tc>
          <w:tcPr>
            <w:tcW w:w="1400" w:type="dxa"/>
            <w:shd w:fill="1F4E78"/>
          </w:tcPr>
          <w:p>
            <w:pPr>
              <w:jc w:val="right"/>
              <w:spacing w:before="0" w:after="0"/>
            </w:pPr>
            <w:r>
              <w:rPr>
                <w:b/>
                <w:color w:val="FFFFFF"/>
              </w:rPr>
              <w:t xml:space="preserve">Precision@10</w:t>
            </w:r>
          </w:p>
        </w:tc>
      </w:tr>
      <w:tr>
        <w:tc>
          <w:tcPr>
            <w:tcW w:w="1900" w:type="dxa"/>
          </w:tcPr>
          <w:p>
            <w:pPr>
              <w:jc w:val="left"/>
              <w:spacing w:before="0" w:after="0"/>
            </w:pPr>
            <w:r>
              <w:t xml:space="preserve">Semantic</w:t>
            </w:r>
          </w:p>
        </w:tc>
        <w:tc>
          <w:tcPr>
            <w:tcW w:w="1400" w:type="dxa"/>
          </w:tcPr>
          <w:p>
            <w:pPr>
              <w:jc w:val="right"/>
              <w:spacing w:before="0" w:after="0"/>
            </w:pPr>
            <w:r>
              <w:t xml:space="preserve">0.71110</w:t>
            </w:r>
          </w:p>
        </w:tc>
        <w:tc>
          <w:tcPr>
            <w:tcW w:w="1400" w:type="dxa"/>
          </w:tcPr>
          <w:p>
            <w:pPr>
              <w:jc w:val="right"/>
              <w:spacing w:before="0" w:after="0"/>
            </w:pPr>
            <w:r>
              <w:t xml:space="preserve">0.83689</w:t>
            </w:r>
          </w:p>
        </w:tc>
        <w:tc>
          <w:tcPr>
            <w:tcW w:w="1400" w:type="dxa"/>
          </w:tcPr>
          <w:p>
            <w:pPr>
              <w:jc w:val="right"/>
              <w:spacing w:before="0" w:after="0"/>
            </w:pPr>
            <w:r>
              <w:t xml:space="preserve">0.67965</w:t>
            </w:r>
          </w:p>
        </w:tc>
        <w:tc>
          <w:tcPr>
            <w:tcW w:w="1400" w:type="dxa"/>
          </w:tcPr>
          <w:p>
            <w:pPr>
              <w:jc w:val="right"/>
              <w:spacing w:before="0" w:after="0"/>
            </w:pPr>
            <w:r>
              <w:t xml:space="preserve">0.66511</w:t>
            </w:r>
          </w:p>
        </w:tc>
        <w:tc>
          <w:tcPr>
            <w:tcW w:w="1400" w:type="dxa"/>
          </w:tcPr>
          <w:p>
            <w:pPr>
              <w:jc w:val="right"/>
              <w:spacing w:before="0" w:after="0"/>
            </w:pPr>
            <w:r>
              <w:t xml:space="preserve">0.09467</w:t>
            </w:r>
          </w:p>
        </w:tc>
      </w:tr>
      <w:tr>
        <w:tc>
          <w:tcPr>
            <w:tcW w:w="1900" w:type="dxa"/>
            <w:shd w:fill="EAF2F8"/>
          </w:tcPr>
          <w:p>
            <w:pPr>
              <w:jc w:val="left"/>
              <w:spacing w:before="0" w:after="0"/>
            </w:pPr>
            <w:r>
              <w:t xml:space="preserve">Hybrid</w:t>
            </w:r>
          </w:p>
        </w:tc>
        <w:tc>
          <w:tcPr>
            <w:tcW w:w="1400" w:type="dxa"/>
            <w:shd w:fill="EAF2F8"/>
          </w:tcPr>
          <w:p>
            <w:pPr>
              <w:jc w:val="right"/>
              <w:spacing w:before="0" w:after="0"/>
            </w:pPr>
            <w:r>
              <w:t xml:space="preserve">0.70022</w:t>
            </w:r>
          </w:p>
        </w:tc>
        <w:tc>
          <w:tcPr>
            <w:tcW w:w="1400" w:type="dxa"/>
            <w:shd w:fill="EAF2F8"/>
          </w:tcPr>
          <w:p>
            <w:pPr>
              <w:jc w:val="right"/>
              <w:spacing w:before="0" w:after="0"/>
            </w:pPr>
            <w:r>
              <w:t xml:space="preserve">0.82789</w:t>
            </w:r>
          </w:p>
        </w:tc>
        <w:tc>
          <w:tcPr>
            <w:tcW w:w="1400" w:type="dxa"/>
            <w:shd w:fill="EAF2F8"/>
          </w:tcPr>
          <w:p>
            <w:pPr>
              <w:jc w:val="right"/>
              <w:spacing w:before="0" w:after="0"/>
            </w:pPr>
            <w:r>
              <w:t xml:space="preserve">0.66553</w:t>
            </w:r>
          </w:p>
        </w:tc>
        <w:tc>
          <w:tcPr>
            <w:tcW w:w="1400" w:type="dxa"/>
            <w:shd w:fill="EAF2F8"/>
          </w:tcPr>
          <w:p>
            <w:pPr>
              <w:jc w:val="right"/>
              <w:spacing w:before="0" w:after="0"/>
            </w:pPr>
            <w:r>
              <w:t xml:space="preserve">0.65290</w:t>
            </w:r>
          </w:p>
        </w:tc>
        <w:tc>
          <w:tcPr>
            <w:tcW w:w="1400" w:type="dxa"/>
            <w:shd w:fill="EAF2F8"/>
          </w:tcPr>
          <w:p>
            <w:pPr>
              <w:jc w:val="right"/>
              <w:spacing w:before="0" w:after="0"/>
            </w:pPr>
            <w:r>
              <w:t xml:space="preserve">0.09300</w:t>
            </w:r>
          </w:p>
        </w:tc>
      </w:tr>
      <w:tr>
        <w:tc>
          <w:tcPr>
            <w:tcW w:w="1900" w:type="dxa"/>
          </w:tcPr>
          <w:p>
            <w:pPr>
              <w:jc w:val="left"/>
              <w:spacing w:before="0" w:after="0"/>
            </w:pPr>
            <w:r>
              <w:t xml:space="preserve">BM25</w:t>
            </w:r>
          </w:p>
        </w:tc>
        <w:tc>
          <w:tcPr>
            <w:tcW w:w="1400" w:type="dxa"/>
          </w:tcPr>
          <w:p>
            <w:pPr>
              <w:jc w:val="right"/>
              <w:spacing w:before="0" w:after="0"/>
            </w:pPr>
            <w:r>
              <w:t xml:space="preserve">0.67764</w:t>
            </w:r>
          </w:p>
        </w:tc>
        <w:tc>
          <w:tcPr>
            <w:tcW w:w="1400" w:type="dxa"/>
          </w:tcPr>
          <w:p>
            <w:pPr>
              <w:jc w:val="right"/>
              <w:spacing w:before="0" w:after="0"/>
            </w:pPr>
            <w:r>
              <w:t xml:space="preserve">0.80717</w:t>
            </w:r>
          </w:p>
        </w:tc>
        <w:tc>
          <w:tcPr>
            <w:tcW w:w="1400" w:type="dxa"/>
          </w:tcPr>
          <w:p>
            <w:pPr>
              <w:jc w:val="right"/>
              <w:spacing w:before="0" w:after="0"/>
            </w:pPr>
            <w:r>
              <w:t xml:space="preserve">0.64190</w:t>
            </w:r>
          </w:p>
        </w:tc>
        <w:tc>
          <w:tcPr>
            <w:tcW w:w="1400" w:type="dxa"/>
          </w:tcPr>
          <w:p>
            <w:pPr>
              <w:jc w:val="right"/>
              <w:spacing w:before="0" w:after="0"/>
            </w:pPr>
            <w:r>
              <w:t xml:space="preserve">0.63086</w:t>
            </w:r>
          </w:p>
        </w:tc>
        <w:tc>
          <w:tcPr>
            <w:tcW w:w="1400" w:type="dxa"/>
          </w:tcPr>
          <w:p>
            <w:pPr>
              <w:jc w:val="right"/>
              <w:spacing w:before="0" w:after="0"/>
            </w:pPr>
            <w:r>
              <w:t xml:space="preserve">0.08867</w:t>
            </w:r>
          </w:p>
        </w:tc>
      </w:tr>
    </w:tbl>
    <w:p>
      <w:pPr>
        <w:spacing w:before="0" w:after="50"/>
      </w:pPr>
      <w:r>
        <w:t xml:space="preserve"/>
      </w:r>
    </w:p>
    <w:p>
      <w:pPr>
        <w:pStyle w:val="Heading2"/>
        <w:spacing w:before="0" w:after="120"/>
      </w:pPr>
      <w:r>
        <w:t xml:space="preserve">Pairwise differences</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1900"/>
        <w:gridCol w:w="1400"/>
        <w:gridCol w:w="1400"/>
        <w:gridCol w:w="1400"/>
        <w:gridCol w:w="1400"/>
        <w:gridCol w:w="1400"/>
      </w:tblGrid>
      <w:tr>
        <w:tc>
          <w:tcPr>
            <w:tcW w:w="1900" w:type="dxa"/>
            <w:shd w:fill="1F4E78"/>
          </w:tcPr>
          <w:p>
            <w:pPr>
              <w:jc w:val="left"/>
              <w:spacing w:before="0" w:after="0"/>
            </w:pPr>
            <w:r>
              <w:rPr>
                <w:b/>
                <w:color w:val="FFFFFF"/>
              </w:rPr>
              <w:t xml:space="preserve">Comparison</w:t>
            </w:r>
          </w:p>
        </w:tc>
        <w:tc>
          <w:tcPr>
            <w:tcW w:w="1400" w:type="dxa"/>
            <w:shd w:fill="1F4E78"/>
          </w:tcPr>
          <w:p>
            <w:pPr>
              <w:jc w:val="right"/>
              <w:spacing w:before="0" w:after="0"/>
            </w:pPr>
            <w:r>
              <w:rPr>
                <w:b/>
                <w:color w:val="FFFFFF"/>
              </w:rPr>
              <w:t xml:space="preserve">nDCG@10</w:t>
            </w:r>
          </w:p>
        </w:tc>
        <w:tc>
          <w:tcPr>
            <w:tcW w:w="1400" w:type="dxa"/>
            <w:shd w:fill="1F4E78"/>
          </w:tcPr>
          <w:p>
            <w:pPr>
              <w:jc w:val="right"/>
              <w:spacing w:before="0" w:after="0"/>
            </w:pPr>
            <w:r>
              <w:rPr>
                <w:b/>
                <w:color w:val="FFFFFF"/>
              </w:rPr>
              <w:t xml:space="preserve">Recall@10</w:t>
            </w:r>
          </w:p>
        </w:tc>
        <w:tc>
          <w:tcPr>
            <w:tcW w:w="1400" w:type="dxa"/>
            <w:shd w:fill="1F4E78"/>
          </w:tcPr>
          <w:p>
            <w:pPr>
              <w:jc w:val="right"/>
              <w:spacing w:before="0" w:after="0"/>
            </w:pPr>
            <w:r>
              <w:rPr>
                <w:b/>
                <w:color w:val="FFFFFF"/>
              </w:rPr>
              <w:t xml:space="preserve">MRR@10</w:t>
            </w:r>
          </w:p>
        </w:tc>
        <w:tc>
          <w:tcPr>
            <w:tcW w:w="1400" w:type="dxa"/>
            <w:shd w:fill="1F4E78"/>
          </w:tcPr>
          <w:p>
            <w:pPr>
              <w:jc w:val="right"/>
              <w:spacing w:before="0" w:after="0"/>
            </w:pPr>
            <w:r>
              <w:rPr>
                <w:b/>
                <w:color w:val="FFFFFF"/>
              </w:rPr>
              <w:t xml:space="preserve">MAP@10</w:t>
            </w:r>
          </w:p>
        </w:tc>
        <w:tc>
          <w:tcPr>
            <w:tcW w:w="1400" w:type="dxa"/>
            <w:shd w:fill="1F4E78"/>
          </w:tcPr>
          <w:p>
            <w:pPr>
              <w:jc w:val="right"/>
              <w:spacing w:before="0" w:after="0"/>
            </w:pPr>
            <w:r>
              <w:rPr>
                <w:b/>
                <w:color w:val="FFFFFF"/>
              </w:rPr>
              <w:t xml:space="preserve">Precision@10</w:t>
            </w:r>
          </w:p>
        </w:tc>
      </w:tr>
      <w:tr>
        <w:tc>
          <w:tcPr>
            <w:tcW w:w="1900" w:type="dxa"/>
          </w:tcPr>
          <w:p>
            <w:pPr>
              <w:jc w:val="left"/>
              <w:spacing w:before="0" w:after="0"/>
            </w:pPr>
            <w:r>
              <w:t xml:space="preserve">Semantic − BM25</w:t>
            </w:r>
          </w:p>
        </w:tc>
        <w:tc>
          <w:tcPr>
            <w:tcW w:w="1400" w:type="dxa"/>
          </w:tcPr>
          <w:p>
            <w:pPr>
              <w:jc w:val="right"/>
              <w:spacing w:before="0" w:after="0"/>
            </w:pPr>
            <w:r>
              <w:t xml:space="preserve">+0.03346</w:t>
            </w:r>
          </w:p>
        </w:tc>
        <w:tc>
          <w:tcPr>
            <w:tcW w:w="1400" w:type="dxa"/>
          </w:tcPr>
          <w:p>
            <w:pPr>
              <w:jc w:val="right"/>
              <w:spacing w:before="0" w:after="0"/>
            </w:pPr>
            <w:r>
              <w:t xml:space="preserve">+0.02972</w:t>
            </w:r>
          </w:p>
        </w:tc>
        <w:tc>
          <w:tcPr>
            <w:tcW w:w="1400" w:type="dxa"/>
          </w:tcPr>
          <w:p>
            <w:pPr>
              <w:jc w:val="right"/>
              <w:spacing w:before="0" w:after="0"/>
            </w:pPr>
            <w:r>
              <w:t xml:space="preserve">+0.03775</w:t>
            </w:r>
          </w:p>
        </w:tc>
        <w:tc>
          <w:tcPr>
            <w:tcW w:w="1400" w:type="dxa"/>
          </w:tcPr>
          <w:p>
            <w:pPr>
              <w:jc w:val="right"/>
              <w:spacing w:before="0" w:after="0"/>
            </w:pPr>
            <w:r>
              <w:t xml:space="preserve">+0.03425</w:t>
            </w:r>
          </w:p>
        </w:tc>
        <w:tc>
          <w:tcPr>
            <w:tcW w:w="1400" w:type="dxa"/>
          </w:tcPr>
          <w:p>
            <w:pPr>
              <w:jc w:val="right"/>
              <w:spacing w:before="0" w:after="0"/>
            </w:pPr>
            <w:r>
              <w:t xml:space="preserve">+0.00600</w:t>
            </w:r>
          </w:p>
        </w:tc>
      </w:tr>
      <w:tr>
        <w:tc>
          <w:tcPr>
            <w:tcW w:w="1900" w:type="dxa"/>
            <w:shd w:fill="EAF2F8"/>
          </w:tcPr>
          <w:p>
            <w:pPr>
              <w:jc w:val="left"/>
              <w:spacing w:before="0" w:after="0"/>
            </w:pPr>
            <w:r>
              <w:t xml:space="preserve">Hybrid − BM25</w:t>
            </w:r>
          </w:p>
        </w:tc>
        <w:tc>
          <w:tcPr>
            <w:tcW w:w="1400" w:type="dxa"/>
            <w:shd w:fill="EAF2F8"/>
          </w:tcPr>
          <w:p>
            <w:pPr>
              <w:jc w:val="right"/>
              <w:spacing w:before="0" w:after="0"/>
            </w:pPr>
            <w:r>
              <w:t xml:space="preserve">+0.02258</w:t>
            </w:r>
          </w:p>
        </w:tc>
        <w:tc>
          <w:tcPr>
            <w:tcW w:w="1400" w:type="dxa"/>
            <w:shd w:fill="EAF2F8"/>
          </w:tcPr>
          <w:p>
            <w:pPr>
              <w:jc w:val="right"/>
              <w:spacing w:before="0" w:after="0"/>
            </w:pPr>
            <w:r>
              <w:t xml:space="preserve">+0.02072</w:t>
            </w:r>
          </w:p>
        </w:tc>
        <w:tc>
          <w:tcPr>
            <w:tcW w:w="1400" w:type="dxa"/>
            <w:shd w:fill="EAF2F8"/>
          </w:tcPr>
          <w:p>
            <w:pPr>
              <w:jc w:val="right"/>
              <w:spacing w:before="0" w:after="0"/>
            </w:pPr>
            <w:r>
              <w:t xml:space="preserve">+0.02363</w:t>
            </w:r>
          </w:p>
        </w:tc>
        <w:tc>
          <w:tcPr>
            <w:tcW w:w="1400" w:type="dxa"/>
            <w:shd w:fill="EAF2F8"/>
          </w:tcPr>
          <w:p>
            <w:pPr>
              <w:jc w:val="right"/>
              <w:spacing w:before="0" w:after="0"/>
            </w:pPr>
            <w:r>
              <w:t xml:space="preserve">+0.02204</w:t>
            </w:r>
          </w:p>
        </w:tc>
        <w:tc>
          <w:tcPr>
            <w:tcW w:w="1400" w:type="dxa"/>
            <w:shd w:fill="EAF2F8"/>
          </w:tcPr>
          <w:p>
            <w:pPr>
              <w:jc w:val="right"/>
              <w:spacing w:before="0" w:after="0"/>
            </w:pPr>
            <w:r>
              <w:t xml:space="preserve">+0.00433</w:t>
            </w:r>
          </w:p>
        </w:tc>
      </w:tr>
      <w:tr>
        <w:tc>
          <w:tcPr>
            <w:tcW w:w="1900" w:type="dxa"/>
          </w:tcPr>
          <w:p>
            <w:pPr>
              <w:jc w:val="left"/>
              <w:spacing w:before="0" w:after="0"/>
            </w:pPr>
            <w:r>
              <w:t xml:space="preserve">Hybrid − semantic</w:t>
            </w:r>
          </w:p>
        </w:tc>
        <w:tc>
          <w:tcPr>
            <w:tcW w:w="1400" w:type="dxa"/>
          </w:tcPr>
          <w:p>
            <w:pPr>
              <w:jc w:val="right"/>
              <w:spacing w:before="0" w:after="0"/>
            </w:pPr>
            <w:r>
              <w:t xml:space="preserve">−0.01088</w:t>
            </w:r>
          </w:p>
        </w:tc>
        <w:tc>
          <w:tcPr>
            <w:tcW w:w="1400" w:type="dxa"/>
          </w:tcPr>
          <w:p>
            <w:pPr>
              <w:jc w:val="right"/>
              <w:spacing w:before="0" w:after="0"/>
            </w:pPr>
            <w:r>
              <w:t xml:space="preserve">−0.00900</w:t>
            </w:r>
          </w:p>
        </w:tc>
        <w:tc>
          <w:tcPr>
            <w:tcW w:w="1400" w:type="dxa"/>
          </w:tcPr>
          <w:p>
            <w:pPr>
              <w:jc w:val="right"/>
              <w:spacing w:before="0" w:after="0"/>
            </w:pPr>
            <w:r>
              <w:t xml:space="preserve">−0.01412</w:t>
            </w:r>
          </w:p>
        </w:tc>
        <w:tc>
          <w:tcPr>
            <w:tcW w:w="1400" w:type="dxa"/>
          </w:tcPr>
          <w:p>
            <w:pPr>
              <w:jc w:val="right"/>
              <w:spacing w:before="0" w:after="0"/>
            </w:pPr>
            <w:r>
              <w:t xml:space="preserve">−0.01221</w:t>
            </w:r>
          </w:p>
        </w:tc>
        <w:tc>
          <w:tcPr>
            <w:tcW w:w="1400" w:type="dxa"/>
          </w:tcPr>
          <w:p>
            <w:pPr>
              <w:jc w:val="right"/>
              <w:spacing w:before="0" w:after="0"/>
            </w:pPr>
            <w:r>
              <w:t xml:space="preserve">−0.00167</w:t>
            </w:r>
          </w:p>
        </w:tc>
      </w:tr>
    </w:tbl>
    <w:p>
      <w:pPr>
        <w:spacing w:before="0" w:after="50"/>
      </w:pPr>
      <w:r>
        <w:t xml:space="preserve"/>
      </w:r>
    </w:p>
    <w:p>
      <w:pPr>
        <w:pStyle w:val="Heading2"/>
        <w:spacing w:before="0" w:after="120"/>
      </w:pPr>
      <w:r>
        <w:t xml:space="preserve">Interpretation</w:t>
      </w:r>
    </w:p>
    <w:p>
      <w:pPr>
        <w:spacing w:before="0" w:after="55"/>
        <w:ind w:left="360" w:hanging="360"/>
      </w:pPr>
      <w:r>
        <w:t xml:space="preserve">• Semantic retrieval ranked first on all reported headline metrics.</w:t>
      </w:r>
    </w:p>
    <w:p>
      <w:pPr>
        <w:spacing w:before="0" w:after="55"/>
        <w:ind w:left="360" w:hanging="360"/>
      </w:pPr>
      <w:r>
        <w:t xml:space="preserve">• Hybrid retrieval improved over BM25 across every headline metric.</w:t>
      </w:r>
    </w:p>
    <w:p>
      <w:pPr>
        <w:spacing w:before="0" w:after="55"/>
        <w:ind w:left="360" w:hanging="360"/>
      </w:pPr>
      <w:r>
        <w:t xml:space="preserve">• Hybrid remained below semantic retrieval, including a 0.01088 nDCG@10 deficit.</w:t>
      </w:r>
    </w:p>
    <w:p>
      <w:pPr>
        <w:spacing w:before="0" w:after="55"/>
        <w:ind w:left="360" w:hanging="360"/>
      </w:pPr>
      <w:r>
        <w:t xml:space="preserve">• The result suggests that lexical evidence is useful, but the current hybrid candidate fusion and cross-encoder reranking do not add value over semantic retrieval on SciFact.</w:t>
      </w:r>
    </w:p>
    <w:p>
      <w:pPr>
        <w:spacing w:before="0" w:after="55"/>
        <w:ind w:left="360" w:hanging="360"/>
      </w:pPr>
      <w:r>
        <w:t xml:space="preserve">• This conclusion applies to SciFact only and does not establish performance across the full BEIR suite.</w:t>
      </w:r>
    </w:p>
    <w:p>
      <w:r>
        <w:br w:type="page"/>
      </w:r>
    </w:p>
    <w:p>
      <w:pPr>
        <w:pStyle w:val="Heading1"/>
        <w:spacing w:before="0" w:after="120"/>
      </w:pPr>
      <w:r>
        <w:t xml:space="preserve">Test and Validation Results</w:t>
      </w:r>
    </w:p>
    <w:p>
      <w:pPr>
        <w:spacing w:before="0" w:after="120"/>
      </w:pPr>
      <w:r>
        <w:t xml:space="preserve">The following checks were rerun on September 15, 2026 immediately before this report was generated.</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3000"/>
        <w:gridCol w:w="1200"/>
        <w:gridCol w:w="4700"/>
      </w:tblGrid>
      <w:tr>
        <w:tc>
          <w:tcPr>
            <w:tcW w:w="3000" w:type="dxa"/>
            <w:shd w:fill="1F4E78"/>
          </w:tcPr>
          <w:p>
            <w:pPr>
              <w:jc w:val="left"/>
              <w:spacing w:before="0" w:after="0"/>
            </w:pPr>
            <w:r>
              <w:rPr>
                <w:b/>
                <w:color w:val="FFFFFF"/>
              </w:rPr>
              <w:t xml:space="preserve">Check</w:t>
            </w:r>
          </w:p>
        </w:tc>
        <w:tc>
          <w:tcPr>
            <w:tcW w:w="1200" w:type="dxa"/>
            <w:shd w:fill="1F4E78"/>
          </w:tcPr>
          <w:p>
            <w:pPr>
              <w:jc w:val="left"/>
              <w:spacing w:before="0" w:after="0"/>
            </w:pPr>
            <w:r>
              <w:rPr>
                <w:b/>
                <w:color w:val="FFFFFF"/>
              </w:rPr>
              <w:t xml:space="preserve">Result</w:t>
            </w:r>
          </w:p>
        </w:tc>
        <w:tc>
          <w:tcPr>
            <w:tcW w:w="4700" w:type="dxa"/>
            <w:shd w:fill="1F4E78"/>
          </w:tcPr>
          <w:p>
            <w:pPr>
              <w:jc w:val="left"/>
              <w:spacing w:before="0" w:after="0"/>
            </w:pPr>
            <w:r>
              <w:rPr>
                <w:b/>
                <w:color w:val="FFFFFF"/>
              </w:rPr>
              <w:t xml:space="preserve">Details</w:t>
            </w:r>
          </w:p>
        </w:tc>
      </w:tr>
      <w:tr>
        <w:tc>
          <w:tcPr>
            <w:tcW w:w="3000" w:type="dxa"/>
          </w:tcPr>
          <w:p>
            <w:pPr>
              <w:jc w:val="left"/>
              <w:spacing w:before="0" w:after="0"/>
            </w:pPr>
            <w:r>
              <w:t xml:space="preserve">BEIR harness unit tests</w:t>
            </w:r>
          </w:p>
        </w:tc>
        <w:tc>
          <w:tcPr>
            <w:tcW w:w="1200" w:type="dxa"/>
          </w:tcPr>
          <w:p>
            <w:pPr>
              <w:jc w:val="left"/>
              <w:spacing w:before="0" w:after="0"/>
            </w:pPr>
            <w:r>
              <w:t xml:space="preserve">PASS</w:t>
            </w:r>
          </w:p>
        </w:tc>
        <w:tc>
          <w:tcPr>
            <w:tcW w:w="4700" w:type="dxa"/>
          </w:tcPr>
          <w:p>
            <w:pPr>
              <w:jc w:val="left"/>
              <w:spacing w:before="0" w:after="0"/>
            </w:pPr>
            <w:r>
              <w:t xml:space="preserve">31/31 tests passed in 0.082 seconds</w:t>
            </w:r>
          </w:p>
        </w:tc>
      </w:tr>
      <w:tr>
        <w:tc>
          <w:tcPr>
            <w:tcW w:w="3000" w:type="dxa"/>
            <w:shd w:fill="EAF2F8"/>
          </w:tcPr>
          <w:p>
            <w:pPr>
              <w:jc w:val="left"/>
              <w:spacing w:before="0" w:after="0"/>
            </w:pPr>
            <w:r>
              <w:t xml:space="preserve">Svelte/TypeScript check</w:t>
            </w:r>
          </w:p>
        </w:tc>
        <w:tc>
          <w:tcPr>
            <w:tcW w:w="1200" w:type="dxa"/>
            <w:shd w:fill="EAF2F8"/>
          </w:tcPr>
          <w:p>
            <w:pPr>
              <w:jc w:val="left"/>
              <w:spacing w:before="0" w:after="0"/>
            </w:pPr>
            <w:r>
              <w:t xml:space="preserve">PASS</w:t>
            </w:r>
          </w:p>
        </w:tc>
        <w:tc>
          <w:tcPr>
            <w:tcW w:w="4700" w:type="dxa"/>
            <w:shd w:fill="EAF2F8"/>
          </w:tcPr>
          <w:p>
            <w:pPr>
              <w:jc w:val="left"/>
              <w:spacing w:before="0" w:after="0"/>
            </w:pPr>
            <w:r>
              <w:t xml:space="preserve">0 errors and 0 warnings</w:t>
            </w:r>
          </w:p>
        </w:tc>
      </w:tr>
      <w:tr>
        <w:tc>
          <w:tcPr>
            <w:tcW w:w="3000" w:type="dxa"/>
          </w:tcPr>
          <w:p>
            <w:pPr>
              <w:jc w:val="left"/>
              <w:spacing w:before="0" w:after="0"/>
            </w:pPr>
            <w:r>
              <w:t xml:space="preserve">Lint and formatting</w:t>
            </w:r>
          </w:p>
        </w:tc>
        <w:tc>
          <w:tcPr>
            <w:tcW w:w="1200" w:type="dxa"/>
          </w:tcPr>
          <w:p>
            <w:pPr>
              <w:jc w:val="left"/>
              <w:spacing w:before="0" w:after="0"/>
            </w:pPr>
            <w:r>
              <w:t xml:space="preserve">PASS</w:t>
            </w:r>
          </w:p>
        </w:tc>
        <w:tc>
          <w:tcPr>
            <w:tcW w:w="4700" w:type="dxa"/>
          </w:tcPr>
          <w:p>
            <w:pPr>
              <w:jc w:val="left"/>
              <w:spacing w:before="0" w:after="0"/>
            </w:pPr>
            <w:r>
              <w:t xml:space="preserve">Prettier and ESLint completed successfully</w:t>
            </w:r>
          </w:p>
        </w:tc>
      </w:tr>
      <w:tr>
        <w:tc>
          <w:tcPr>
            <w:tcW w:w="3000" w:type="dxa"/>
            <w:shd w:fill="EAF2F8"/>
          </w:tcPr>
          <w:p>
            <w:pPr>
              <w:jc w:val="left"/>
              <w:spacing w:before="0" w:after="0"/>
            </w:pPr>
            <w:r>
              <w:t xml:space="preserve">Production build</w:t>
            </w:r>
          </w:p>
        </w:tc>
        <w:tc>
          <w:tcPr>
            <w:tcW w:w="1200" w:type="dxa"/>
            <w:shd w:fill="EAF2F8"/>
          </w:tcPr>
          <w:p>
            <w:pPr>
              <w:jc w:val="left"/>
              <w:spacing w:before="0" w:after="0"/>
            </w:pPr>
            <w:r>
              <w:t xml:space="preserve">PASS</w:t>
            </w:r>
          </w:p>
        </w:tc>
        <w:tc>
          <w:tcPr>
            <w:tcW w:w="4700" w:type="dxa"/>
            <w:shd w:fill="EAF2F8"/>
          </w:tcPr>
          <w:p>
            <w:pPr>
              <w:jc w:val="left"/>
              <w:spacing w:before="0" w:after="0"/>
            </w:pPr>
            <w:r>
              <w:t xml:space="preserve">Vite client and server build completed</w:t>
            </w:r>
          </w:p>
        </w:tc>
      </w:tr>
      <w:tr>
        <w:tc>
          <w:tcPr>
            <w:tcW w:w="3000" w:type="dxa"/>
          </w:tcPr>
          <w:p>
            <w:pPr>
              <w:jc w:val="left"/>
              <w:spacing w:before="0" w:after="0"/>
            </w:pPr>
            <w:r>
              <w:t xml:space="preserve">Python compilation</w:t>
            </w:r>
          </w:p>
        </w:tc>
        <w:tc>
          <w:tcPr>
            <w:tcW w:w="1200" w:type="dxa"/>
          </w:tcPr>
          <w:p>
            <w:pPr>
              <w:jc w:val="left"/>
              <w:spacing w:before="0" w:after="0"/>
            </w:pPr>
            <w:r>
              <w:t xml:space="preserve">PASS</w:t>
            </w:r>
          </w:p>
        </w:tc>
        <w:tc>
          <w:tcPr>
            <w:tcW w:w="4700" w:type="dxa"/>
          </w:tcPr>
          <w:p>
            <w:pPr>
              <w:jc w:val="left"/>
              <w:spacing w:before="0" w:after="0"/>
            </w:pPr>
            <w:r>
              <w:t xml:space="preserve">compileall completed without errors</w:t>
            </w:r>
          </w:p>
        </w:tc>
      </w:tr>
      <w:tr>
        <w:tc>
          <w:tcPr>
            <w:tcW w:w="3000" w:type="dxa"/>
            <w:shd w:fill="EAF2F8"/>
          </w:tcPr>
          <w:p>
            <w:pPr>
              <w:jc w:val="left"/>
              <w:spacing w:before="0" w:after="0"/>
            </w:pPr>
            <w:r>
              <w:t xml:space="preserve">Git whitespace validation</w:t>
            </w:r>
          </w:p>
        </w:tc>
        <w:tc>
          <w:tcPr>
            <w:tcW w:w="1200" w:type="dxa"/>
            <w:shd w:fill="EAF2F8"/>
          </w:tcPr>
          <w:p>
            <w:pPr>
              <w:jc w:val="left"/>
              <w:spacing w:before="0" w:after="0"/>
            </w:pPr>
            <w:r>
              <w:t xml:space="preserve">PASS</w:t>
            </w:r>
          </w:p>
        </w:tc>
        <w:tc>
          <w:tcPr>
            <w:tcW w:w="4700" w:type="dxa"/>
            <w:shd w:fill="EAF2F8"/>
          </w:tcPr>
          <w:p>
            <w:pPr>
              <w:jc w:val="left"/>
              <w:spacing w:before="0" w:after="0"/>
            </w:pPr>
            <w:r>
              <w:t xml:space="preserve">git diff --check returned no errors</w:t>
            </w:r>
          </w:p>
        </w:tc>
      </w:tr>
      <w:tr>
        <w:tc>
          <w:tcPr>
            <w:tcW w:w="3000" w:type="dxa"/>
          </w:tcPr>
          <w:p>
            <w:pPr>
              <w:jc w:val="left"/>
              <w:spacing w:before="0" w:after="0"/>
            </w:pPr>
            <w:r>
              <w:t xml:space="preserve">Independent BEIR evaluation</w:t>
            </w:r>
          </w:p>
        </w:tc>
        <w:tc>
          <w:tcPr>
            <w:tcW w:w="1200" w:type="dxa"/>
          </w:tcPr>
          <w:p>
            <w:pPr>
              <w:jc w:val="left"/>
              <w:spacing w:before="0" w:after="0"/>
            </w:pPr>
            <w:r>
              <w:t xml:space="preserve">PASS</w:t>
            </w:r>
          </w:p>
        </w:tc>
        <w:tc>
          <w:tcPr>
            <w:tcW w:w="4700" w:type="dxa"/>
          </w:tcPr>
          <w:p>
            <w:pPr>
              <w:jc w:val="left"/>
              <w:spacing w:before="0" w:after="0"/>
            </w:pPr>
            <w:r>
              <w:t xml:space="preserve">All saved and recomputed metrics agreed</w:t>
            </w:r>
          </w:p>
        </w:tc>
      </w:tr>
      <w:tr>
        <w:tc>
          <w:tcPr>
            <w:tcW w:w="3000" w:type="dxa"/>
            <w:shd w:fill="EAF2F8"/>
          </w:tcPr>
          <w:p>
            <w:pPr>
              <w:jc w:val="left"/>
              <w:spacing w:before="0" w:after="0"/>
            </w:pPr>
            <w:r>
              <w:t xml:space="preserve">TREC file validation</w:t>
            </w:r>
          </w:p>
        </w:tc>
        <w:tc>
          <w:tcPr>
            <w:tcW w:w="1200" w:type="dxa"/>
            <w:shd w:fill="EAF2F8"/>
          </w:tcPr>
          <w:p>
            <w:pPr>
              <w:jc w:val="left"/>
              <w:spacing w:before="0" w:after="0"/>
            </w:pPr>
            <w:r>
              <w:t xml:space="preserve">PASS</w:t>
            </w:r>
          </w:p>
        </w:tc>
        <w:tc>
          <w:tcPr>
            <w:tcW w:w="4700" w:type="dxa"/>
            <w:shd w:fill="EAF2F8"/>
          </w:tcPr>
          <w:p>
            <w:pPr>
              <w:jc w:val="left"/>
              <w:spacing w:before="0" w:after="0"/>
            </w:pPr>
            <w:r>
              <w:t xml:space="preserve">BM25, semantic, and hybrid: 3,000 lines each</w:t>
            </w:r>
          </w:p>
        </w:tc>
      </w:tr>
      <w:tr>
        <w:tc>
          <w:tcPr>
            <w:tcW w:w="3000" w:type="dxa"/>
          </w:tcPr>
          <w:p>
            <w:pPr>
              <w:jc w:val="left"/>
              <w:spacing w:before="0" w:after="0"/>
            </w:pPr>
            <w:r>
              <w:t xml:space="preserve">Application failures/timeouts</w:t>
            </w:r>
          </w:p>
        </w:tc>
        <w:tc>
          <w:tcPr>
            <w:tcW w:w="1200" w:type="dxa"/>
          </w:tcPr>
          <w:p>
            <w:pPr>
              <w:jc w:val="left"/>
              <w:spacing w:before="0" w:after="0"/>
            </w:pPr>
            <w:r>
              <w:t xml:space="preserve">PASS</w:t>
            </w:r>
          </w:p>
        </w:tc>
        <w:tc>
          <w:tcPr>
            <w:tcW w:w="4700" w:type="dxa"/>
          </w:tcPr>
          <w:p>
            <w:pPr>
              <w:jc w:val="left"/>
              <w:spacing w:before="0" w:after="0"/>
            </w:pPr>
            <w:r>
              <w:t xml:space="preserve">0 failures; 0 timeouts</w:t>
            </w:r>
          </w:p>
        </w:tc>
      </w:tr>
      <w:tr>
        <w:tc>
          <w:tcPr>
            <w:tcW w:w="3000" w:type="dxa"/>
            <w:shd w:fill="EAF2F8"/>
          </w:tcPr>
          <w:p>
            <w:pPr>
              <w:jc w:val="left"/>
              <w:spacing w:before="0" w:after="0"/>
            </w:pPr>
            <w:r>
              <w:t xml:space="preserve">Benchmark process cleanup</w:t>
            </w:r>
          </w:p>
        </w:tc>
        <w:tc>
          <w:tcPr>
            <w:tcW w:w="1200" w:type="dxa"/>
            <w:shd w:fill="EAF2F8"/>
          </w:tcPr>
          <w:p>
            <w:pPr>
              <w:jc w:val="left"/>
              <w:spacing w:before="0" w:after="0"/>
            </w:pPr>
            <w:r>
              <w:t xml:space="preserve">PASS</w:t>
            </w:r>
          </w:p>
        </w:tc>
        <w:tc>
          <w:tcPr>
            <w:tcW w:w="4700" w:type="dxa"/>
            <w:shd w:fill="EAF2F8"/>
          </w:tcPr>
          <w:p>
            <w:pPr>
              <w:jc w:val="left"/>
              <w:spacing w:before="0" w:after="0"/>
            </w:pPr>
            <w:r>
              <w:t xml:space="preserve">No benchmark-owned process remains</w:t>
            </w:r>
          </w:p>
        </w:tc>
      </w:tr>
    </w:tbl>
    <w:p>
      <w:pPr>
        <w:spacing w:before="0" w:after="50"/>
      </w:pPr>
      <w:r>
        <w:t xml:space="preserve"/>
      </w:r>
    </w:p>
    <w:p>
      <w:pPr>
        <w:pStyle w:val="Heading2"/>
        <w:spacing w:before="0" w:after="120"/>
      </w:pPr>
      <w:r>
        <w:t xml:space="preserve">Non-blocking warnings</w:t>
      </w:r>
    </w:p>
    <w:p>
      <w:pPr>
        <w:spacing w:before="0" w:after="55"/>
        <w:ind w:left="360" w:hanging="360"/>
      </w:pPr>
      <w:r>
        <w:t xml:space="preserve">• The installed BEIR data loader emitted ResourceWarning messages for unclosed source files while its real SciFact loader test ran. The test still passed; the warning originates inside the installed BEIR package.</w:t>
      </w:r>
    </w:p>
    <w:p>
      <w:pPr>
        <w:spacing w:before="0" w:after="55"/>
        <w:ind w:left="360" w:hanging="360"/>
      </w:pPr>
      <w:r>
        <w:t xml:space="preserve">• The production build warned that one generated JavaScript chunk exceeds 500 kB after minification.</w:t>
      </w:r>
    </w:p>
    <w:p>
      <w:pPr>
        <w:spacing w:before="0" w:after="55"/>
        <w:ind w:left="360" w:hanging="360"/>
      </w:pPr>
      <w:r>
        <w:t xml:space="preserve">• Adapter-auto reported that it could not detect a production deployment environment; the build still completed successfully.</w:t>
      </w:r>
    </w:p>
    <w:p>
      <w:pPr>
        <w:pStyle w:val="Heading1"/>
        <w:spacing w:before="0" w:after="120"/>
      </w:pPr>
      <w:r>
        <w:t xml:space="preserve">Implementation and Artifact Inventory</w:t>
      </w:r>
    </w:p>
    <w:p>
      <w:pPr>
        <w:pStyle w:val="Heading2"/>
        <w:spacing w:before="0" w:after="120"/>
      </w:pPr>
      <w:r>
        <w:t xml:space="preserve">Current benchmark source changes</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3900"/>
        <w:gridCol w:w="5000"/>
      </w:tblGrid>
      <w:tr>
        <w:tc>
          <w:tcPr>
            <w:tcW w:w="3900" w:type="dxa"/>
            <w:shd w:fill="1F4E78"/>
          </w:tcPr>
          <w:p>
            <w:pPr>
              <w:jc w:val="left"/>
              <w:spacing w:before="0" w:after="0"/>
            </w:pPr>
            <w:r>
              <w:rPr>
                <w:b/>
                <w:color w:val="FFFFFF"/>
              </w:rPr>
              <w:t xml:space="preserve">File</w:t>
            </w:r>
          </w:p>
        </w:tc>
        <w:tc>
          <w:tcPr>
            <w:tcW w:w="5000" w:type="dxa"/>
            <w:shd w:fill="1F4E78"/>
          </w:tcPr>
          <w:p>
            <w:pPr>
              <w:jc w:val="left"/>
              <w:spacing w:before="0" w:after="0"/>
            </w:pPr>
            <w:r>
              <w:rPr>
                <w:b/>
                <w:color w:val="FFFFFF"/>
              </w:rPr>
              <w:t xml:space="preserve">Purpose / current status</w:t>
            </w:r>
          </w:p>
        </w:tc>
      </w:tr>
      <w:tr>
        <w:tc>
          <w:tcPr>
            <w:tcW w:w="3900" w:type="dxa"/>
          </w:tcPr>
          <w:p>
            <w:pPr>
              <w:jc w:val="left"/>
              <w:spacing w:before="0" w:after="0"/>
            </w:pPr>
            <w:r>
              <w:t xml:space="preserve">benchmarks/beir/app_client.py</w:t>
            </w:r>
          </w:p>
        </w:tc>
        <w:tc>
          <w:tcPr>
            <w:tcW w:w="5000" w:type="dxa"/>
          </w:tcPr>
          <w:p>
            <w:pPr>
              <w:jc w:val="left"/>
              <w:spacing w:before="0" w:after="0"/>
            </w:pPr>
            <w:r>
              <w:t xml:space="preserve">Timeout separation and base-URL validation</w:t>
            </w:r>
          </w:p>
        </w:tc>
      </w:tr>
      <w:tr>
        <w:tc>
          <w:tcPr>
            <w:tcW w:w="3900" w:type="dxa"/>
            <w:shd w:fill="EAF2F8"/>
          </w:tcPr>
          <w:p>
            <w:pPr>
              <w:jc w:val="left"/>
              <w:spacing w:before="0" w:after="0"/>
            </w:pPr>
            <w:r>
              <w:t xml:space="preserve">benchmarks/beir/run.py</w:t>
            </w:r>
          </w:p>
        </w:tc>
        <w:tc>
          <w:tcPr>
            <w:tcW w:w="5000" w:type="dxa"/>
            <w:shd w:fill="EAF2F8"/>
          </w:tcPr>
          <w:p>
            <w:pPr>
              <w:jc w:val="left"/>
              <w:spacing w:before="0" w:after="0"/>
            </w:pPr>
            <w:r>
              <w:t xml:space="preserve">Checkpointing, resume, public guards, mapping reuse, adaptive depth</w:t>
            </w:r>
          </w:p>
        </w:tc>
      </w:tr>
      <w:tr>
        <w:tc>
          <w:tcPr>
            <w:tcW w:w="3900" w:type="dxa"/>
          </w:tcPr>
          <w:p>
            <w:pPr>
              <w:jc w:val="left"/>
              <w:spacing w:before="0" w:after="0"/>
            </w:pPr>
            <w:r>
              <w:t xml:space="preserve">benchmarks/beir/run_suite.py</w:t>
            </w:r>
          </w:p>
        </w:tc>
        <w:tc>
          <w:tcPr>
            <w:tcW w:w="5000" w:type="dxa"/>
          </w:tcPr>
          <w:p>
            <w:pPr>
              <w:jc w:val="left"/>
              <w:spacing w:before="0" w:after="0"/>
            </w:pPr>
            <w:r>
              <w:t xml:space="preserve">Safer server-port selection and suite handling</w:t>
            </w:r>
          </w:p>
        </w:tc>
      </w:tr>
      <w:tr>
        <w:tc>
          <w:tcPr>
            <w:tcW w:w="3900" w:type="dxa"/>
            <w:shd w:fill="EAF2F8"/>
          </w:tcPr>
          <w:p>
            <w:pPr>
              <w:jc w:val="left"/>
              <w:spacing w:before="0" w:after="0"/>
            </w:pPr>
            <w:r>
              <w:t xml:space="preserve">benchmarks/beir/test_harness.py</w:t>
            </w:r>
          </w:p>
        </w:tc>
        <w:tc>
          <w:tcPr>
            <w:tcW w:w="5000" w:type="dxa"/>
            <w:shd w:fill="EAF2F8"/>
          </w:tcPr>
          <w:p>
            <w:pPr>
              <w:jc w:val="left"/>
              <w:spacing w:before="0" w:after="0"/>
            </w:pPr>
            <w:r>
              <w:t xml:space="preserve">Expanded harness validation tests</w:t>
            </w:r>
          </w:p>
        </w:tc>
      </w:tr>
      <w:tr>
        <w:tc>
          <w:tcPr>
            <w:tcW w:w="3900" w:type="dxa"/>
          </w:tcPr>
          <w:p>
            <w:pPr>
              <w:jc w:val="left"/>
              <w:spacing w:before="0" w:after="0"/>
            </w:pPr>
            <w:r>
              <w:t xml:space="preserve">benchmarks/beir/run_saved_runtime.py</w:t>
            </w:r>
          </w:p>
        </w:tc>
        <w:tc>
          <w:tcPr>
            <w:tcW w:w="5000" w:type="dxa"/>
          </w:tcPr>
          <w:p>
            <w:pPr>
              <w:jc w:val="left"/>
              <w:spacing w:before="0" w:after="0"/>
            </w:pPr>
            <w:r>
              <w:t xml:space="preserve">Untracked saved-runtime helper</w:t>
            </w:r>
          </w:p>
        </w:tc>
      </w:tr>
    </w:tbl>
    <w:p>
      <w:pPr>
        <w:spacing w:before="0" w:after="50"/>
      </w:pPr>
      <w:r>
        <w:t xml:space="preserve"/>
      </w:r>
    </w:p>
    <w:p>
      <w:pPr>
        <w:pStyle w:val="Heading2"/>
        <w:spacing w:before="0" w:after="120"/>
      </w:pPr>
      <w:r>
        <w:t xml:space="preserve">Primary final artifacts</w:t>
      </w:r>
    </w:p>
    <w:p>
      <w:pPr>
        <w:spacing w:before="0" w:after="55"/>
        <w:ind w:left="360" w:hanging="360"/>
      </w:pPr>
      <w:r>
        <w:t xml:space="preserve">• benchmarks/beir/runs/scifact-scifact-full-test-v3/metrics.json</w:t>
      </w:r>
    </w:p>
    <w:p>
      <w:pPr>
        <w:spacing w:before="0" w:after="55"/>
        <w:ind w:left="360" w:hanging="360"/>
      </w:pPr>
      <w:r>
        <w:t xml:space="preserve">• benchmarks/beir/runs/scifact-scifact-full-test-v3/document-rankings.json</w:t>
      </w:r>
    </w:p>
    <w:p>
      <w:pPr>
        <w:spacing w:before="0" w:after="55"/>
        <w:ind w:left="360" w:hanging="360"/>
      </w:pPr>
      <w:r>
        <w:t xml:space="preserve">• benchmarks/beir/runs/public-comparable/scifact-full-test-v1/step5-validation-v3.json</w:t>
      </w:r>
    </w:p>
    <w:p>
      <w:pPr>
        <w:spacing w:before="0" w:after="55"/>
        <w:ind w:left="360" w:hanging="360"/>
      </w:pPr>
      <w:r>
        <w:t xml:space="preserve">• benchmarks/beir/runs/public-comparable/scifact-full-test-v1/public-result-v3.json</w:t>
      </w:r>
    </w:p>
    <w:p>
      <w:pPr>
        <w:spacing w:before="0" w:after="55"/>
        <w:ind w:left="360" w:hanging="360"/>
      </w:pPr>
      <w:r>
        <w:t xml:space="preserve">• benchmarks/beir/runs/public-comparable/scifact-full-test-v1/final-audit-v3.json</w:t>
      </w:r>
    </w:p>
    <w:p>
      <w:pPr>
        <w:spacing w:before="0" w:after="55"/>
        <w:ind w:left="360" w:hanging="360"/>
      </w:pPr>
      <w:r>
        <w:t xml:space="preserve">• benchmarks/beir/runs/public-comparable/scifact-full-test-v1/final-report-v3.md</w:t>
      </w:r>
    </w:p>
    <w:p>
      <w:pPr>
        <w:spacing w:before="0" w:after="55"/>
        <w:ind w:left="360" w:hanging="360"/>
      </w:pPr>
      <w:r>
        <w:t xml:space="preserve">• benchmarks/beir/runs/public-comparable/scifact-full-test-v1/bm25-v3.trec</w:t>
      </w:r>
    </w:p>
    <w:p>
      <w:pPr>
        <w:spacing w:before="0" w:after="55"/>
        <w:ind w:left="360" w:hanging="360"/>
      </w:pPr>
      <w:r>
        <w:t xml:space="preserve">• benchmarks/beir/runs/public-comparable/scifact-full-test-v1/semantic-v3.trec</w:t>
      </w:r>
    </w:p>
    <w:p>
      <w:pPr>
        <w:spacing w:before="0" w:after="55"/>
        <w:ind w:left="360" w:hanging="360"/>
      </w:pPr>
      <w:r>
        <w:t xml:space="preserve">• benchmarks/beir/runs/public-comparable/scifact-full-test-v1/hybrid-v3.trec</w:t>
      </w:r>
    </w:p>
    <w:p>
      <w:pPr>
        <w:pStyle w:val="Heading1"/>
        <w:spacing w:before="0" w:after="120"/>
      </w:pPr>
      <w:r>
        <w:t xml:space="preserve">Current Repository State</w:t>
      </w:r>
    </w:p>
    <w:tbl>
      <w:tblPr>
        <w:tblW w:w="0" w:type="auto"/>
        <w:tblBorders>
          <w:top w:val="single" w:sz="6" w:color="9CA3AF"/>
          <w:left w:val="single" w:sz="6" w:color="9CA3AF"/>
          <w:bottom w:val="single" w:sz="6" w:color="9CA3AF"/>
          <w:right w:val="single" w:sz="6" w:color="9CA3AF"/>
          <w:insideH w:val="single" w:sz="4" w:color="D1D5DB"/>
          <w:insideV w:val="single" w:sz="4" w:color="D1D5DB"/>
        </w:tblBorders>
        <w:tblCellMar>
          <w:top w:w="90" w:type="dxa"/>
          <w:left w:w="110" w:type="dxa"/>
          <w:bottom w:w="90" w:type="dxa"/>
          <w:right w:w="110" w:type="dxa"/>
        </w:tblCellMar>
      </w:tblPr>
      <w:tblGrid>
        <w:gridCol w:w="2800"/>
        <w:gridCol w:w="6100"/>
      </w:tblGrid>
      <w:tr>
        <w:tc>
          <w:tcPr>
            <w:tcW w:w="2800" w:type="dxa"/>
            <w:shd w:fill="1F4E78"/>
          </w:tcPr>
          <w:p>
            <w:pPr>
              <w:jc w:val="left"/>
              <w:spacing w:before="0" w:after="0"/>
            </w:pPr>
            <w:r>
              <w:rPr>
                <w:b/>
                <w:color w:val="FFFFFF"/>
              </w:rPr>
              <w:t xml:space="preserve">Item</w:t>
            </w:r>
          </w:p>
        </w:tc>
        <w:tc>
          <w:tcPr>
            <w:tcW w:w="6100" w:type="dxa"/>
            <w:shd w:fill="1F4E78"/>
          </w:tcPr>
          <w:p>
            <w:pPr>
              <w:jc w:val="left"/>
              <w:spacing w:before="0" w:after="0"/>
            </w:pPr>
            <w:r>
              <w:rPr>
                <w:b/>
                <w:color w:val="FFFFFF"/>
              </w:rPr>
              <w:t xml:space="preserve">State</w:t>
            </w:r>
          </w:p>
        </w:tc>
      </w:tr>
      <w:tr>
        <w:tc>
          <w:tcPr>
            <w:tcW w:w="2800" w:type="dxa"/>
          </w:tcPr>
          <w:p>
            <w:pPr>
              <w:jc w:val="left"/>
              <w:spacing w:before="0" w:after="0"/>
            </w:pPr>
            <w:r>
              <w:t xml:space="preserve">Branch</w:t>
            </w:r>
          </w:p>
        </w:tc>
        <w:tc>
          <w:tcPr>
            <w:tcW w:w="6100" w:type="dxa"/>
          </w:tcPr>
          <w:p>
            <w:pPr>
              <w:jc w:val="left"/>
              <w:spacing w:before="0" w:after="0"/>
            </w:pPr>
            <w:r>
              <w:t xml:space="preserve">feature/beir-harness</w:t>
            </w:r>
          </w:p>
        </w:tc>
      </w:tr>
      <w:tr>
        <w:tc>
          <w:tcPr>
            <w:tcW w:w="2800" w:type="dxa"/>
            <w:shd w:fill="EAF2F8"/>
          </w:tcPr>
          <w:p>
            <w:pPr>
              <w:jc w:val="left"/>
              <w:spacing w:before="0" w:after="0"/>
            </w:pPr>
            <w:r>
              <w:t xml:space="preserve">Latest commit</w:t>
            </w:r>
          </w:p>
        </w:tc>
        <w:tc>
          <w:tcPr>
            <w:tcW w:w="6100" w:type="dxa"/>
            <w:shd w:fill="EAF2F8"/>
          </w:tcPr>
          <w:p>
            <w:pPr>
              <w:jc w:val="left"/>
              <w:spacing w:before="0" w:after="0"/>
            </w:pPr>
            <w:r>
              <w:t xml:space="preserve">7be074c49208947b1c3f45ce42abf9706f69e5e2</w:t>
            </w:r>
          </w:p>
        </w:tc>
      </w:tr>
      <w:tr>
        <w:tc>
          <w:tcPr>
            <w:tcW w:w="2800" w:type="dxa"/>
          </w:tcPr>
          <w:p>
            <w:pPr>
              <w:jc w:val="left"/>
              <w:spacing w:before="0" w:after="0"/>
            </w:pPr>
            <w:r>
              <w:t xml:space="preserve">Latest commit date</w:t>
            </w:r>
          </w:p>
        </w:tc>
        <w:tc>
          <w:tcPr>
            <w:tcW w:w="6100" w:type="dxa"/>
          </w:tcPr>
          <w:p>
            <w:pPr>
              <w:jc w:val="left"/>
              <w:spacing w:before="0" w:after="0"/>
            </w:pPr>
            <w:r>
              <w:t xml:space="preserve">September 11, 2026</w:t>
            </w:r>
          </w:p>
        </w:tc>
      </w:tr>
      <w:tr>
        <w:tc>
          <w:tcPr>
            <w:tcW w:w="2800" w:type="dxa"/>
            <w:shd w:fill="EAF2F8"/>
          </w:tcPr>
          <w:p>
            <w:pPr>
              <w:jc w:val="left"/>
              <w:spacing w:before="0" w:after="0"/>
            </w:pPr>
            <w:r>
              <w:t xml:space="preserve">Working tree</w:t>
            </w:r>
          </w:p>
        </w:tc>
        <w:tc>
          <w:tcPr>
            <w:tcW w:w="6100" w:type="dxa"/>
            <w:shd w:fill="EAF2F8"/>
          </w:tcPr>
          <w:p>
            <w:pPr>
              <w:jc w:val="left"/>
              <w:spacing w:before="0" w:after="0"/>
            </w:pPr>
            <w:r>
              <w:t xml:space="preserve">Four modified benchmark files and one untracked helper</w:t>
            </w:r>
          </w:p>
        </w:tc>
      </w:tr>
      <w:tr>
        <w:tc>
          <w:tcPr>
            <w:tcW w:w="2800" w:type="dxa"/>
          </w:tcPr>
          <w:p>
            <w:pPr>
              <w:jc w:val="left"/>
              <w:spacing w:before="0" w:after="0"/>
            </w:pPr>
            <w:r>
              <w:t xml:space="preserve">Staged changes</w:t>
            </w:r>
          </w:p>
        </w:tc>
        <w:tc>
          <w:tcPr>
            <w:tcW w:w="6100" w:type="dxa"/>
          </w:tcPr>
          <w:p>
            <w:pPr>
              <w:jc w:val="left"/>
              <w:spacing w:before="0" w:after="0"/>
            </w:pPr>
            <w:r>
              <w:t xml:space="preserve">None reported</w:t>
            </w:r>
          </w:p>
        </w:tc>
      </w:tr>
      <w:tr>
        <w:tc>
          <w:tcPr>
            <w:tcW w:w="2800" w:type="dxa"/>
            <w:shd w:fill="EAF2F8"/>
          </w:tcPr>
          <w:p>
            <w:pPr>
              <w:jc w:val="left"/>
              <w:spacing w:before="0" w:after="0"/>
            </w:pPr>
            <w:r>
              <w:t xml:space="preserve">Current diff validation</w:t>
            </w:r>
          </w:p>
        </w:tc>
        <w:tc>
          <w:tcPr>
            <w:tcW w:w="6100" w:type="dxa"/>
            <w:shd w:fill="EAF2F8"/>
          </w:tcPr>
          <w:p>
            <w:pPr>
              <w:jc w:val="left"/>
              <w:spacing w:before="0" w:after="0"/>
            </w:pPr>
            <w:r>
              <w:t xml:space="preserve">Passed</w:t>
            </w:r>
          </w:p>
        </w:tc>
      </w:tr>
      <w:tr>
        <w:tc>
          <w:tcPr>
            <w:tcW w:w="2800" w:type="dxa"/>
          </w:tcPr>
          <w:p>
            <w:pPr>
              <w:jc w:val="left"/>
              <w:spacing w:before="0" w:after="0"/>
            </w:pPr>
            <w:r>
              <w:t xml:space="preserve">Benchmark process</w:t>
            </w:r>
          </w:p>
        </w:tc>
        <w:tc>
          <w:tcPr>
            <w:tcW w:w="6100" w:type="dxa"/>
          </w:tcPr>
          <w:p>
            <w:pPr>
              <w:jc w:val="left"/>
              <w:spacing w:before="0" w:after="0"/>
            </w:pPr>
            <w:r>
              <w:t xml:space="preserve">None running</w:t>
            </w:r>
          </w:p>
        </w:tc>
      </w:tr>
    </w:tbl>
    <w:p>
      <w:pPr>
        <w:spacing w:before="0" w:after="50"/>
      </w:pPr>
      <w:r>
        <w:t xml:space="preserve"/>
      </w:r>
    </w:p>
    <w:p>
      <w:pPr>
        <w:pStyle w:val="Heading1"/>
        <w:spacing w:before="0" w:after="120"/>
      </w:pPr>
      <w:r>
        <w:t xml:space="preserve">Remaining Caveats and Recommended Follow-up</w:t>
      </w:r>
    </w:p>
    <w:p>
      <w:pPr>
        <w:spacing w:before="0" w:after="55"/>
        <w:ind w:left="360" w:hanging="360"/>
      </w:pPr>
      <w:r>
        <w:t xml:space="preserve">• The benchmark changes remain uncommitted. Review and commit them deliberately once the implementation is accepted.</w:t>
      </w:r>
    </w:p>
    <w:p>
      <w:pPr>
        <w:spacing w:before="0" w:after="55"/>
        <w:ind w:left="360" w:hanging="360"/>
      </w:pPr>
      <w:r>
        <w:t xml:space="preserve">• The final test suite passes, but test_harness.py contains no explicit reference to adaptive_document_depth_search or the mapping-reuse option. Dedicated regression tests for those paths should be added before treating the harness as production-stable.</w:t>
      </w:r>
    </w:p>
    <w:p>
      <w:pPr>
        <w:spacing w:before="0" w:after="55"/>
        <w:ind w:left="360" w:hanging="360"/>
      </w:pPr>
      <w:r>
        <w:t xml:space="preserve">• The document-depth amendment contains a stale embedded self-hash. The externally calculated hash, 5727fe7aa603d00841fa6f0853874cc06c626e07514d9036cc60729da3f4cca0, is authoritative.</w:t>
      </w:r>
    </w:p>
    <w:p>
      <w:pPr>
        <w:spacing w:before="0" w:after="55"/>
        <w:ind w:left="360" w:hanging="360"/>
      </w:pPr>
      <w:r>
        <w:t xml:space="preserve">• Adaptive behavior is documented in the amendment and query checkpoints rather than completely represented by the original frozen run configuration. Reproduction must retain both the protocol and amendment.</w:t>
      </w:r>
    </w:p>
    <w:p>
      <w:pPr>
        <w:spacing w:before="0" w:after="55"/>
        <w:ind w:left="360" w:hanging="360"/>
      </w:pPr>
      <w:r>
        <w:t xml:space="preserve">• The old failed v1 runtime and failed v2 Step 4 artifacts remain preserved for diagnosis and must not be mixed into the final v3 result.</w:t>
      </w:r>
    </w:p>
    <w:p>
      <w:pPr>
        <w:spacing w:before="0" w:after="55"/>
        <w:ind w:left="360" w:hanging="360"/>
      </w:pPr>
      <w:r>
        <w:t xml:space="preserve">• No external leaderboard position was established. The result is comparable where dataset, split, qrels, document-level unit, and metric definitions match, but retrieval architectures may differ.</w:t>
      </w:r>
    </w:p>
    <w:p>
      <w:pPr>
        <w:pStyle w:val="Heading1"/>
        <w:spacing w:before="0" w:after="120"/>
      </w:pPr>
      <w:r>
        <w:t xml:space="preserve">Conclusion</w:t>
      </w:r>
    </w:p>
    <w:p>
      <w:pPr>
        <w:spacing w:before="0" w:after="120"/>
      </w:pPr>
      <w:r>
        <w:t xml:space="preserve">The project now has a complete and internally validated SciFact retrieval benchmark package. The strongest current configuration is semantic retrieval. Hybrid retrieval provides a meaningful gain over BM25 but requires further tuning to surpass the semantic baseline. The generated rankings, metrics, TREC files, hashes, and validation records provide a sound basis for future public comparisons and regression testing.</w:t>
      </w:r>
    </w:p>
    <w:sectPr>
      <w:pgSz w:w="12240" w:h="15840"/>
      <w:pgMar w:top="1080" w:right="1080" w:bottom="1080" w:left="1080" w:header="720" w:footer="720" w:gutter="0"/>
      <w:cols w:space="720"/>
      <w:docGrid w:linePitch="360"/>
    </w:sectPr>
  </w:body>
</w:document>
</file>

<file path=word/settings.xml><?xml version="1.0" encoding="utf-8"?>
<w:settings xmlns:w="http://schemas.openxmlformats.org/wordprocessingml/2006/main">
  <w:zoom w:percent="95"/>
  <w:defaultTabStop w:val="720"/>
  <w:compat/>
</w:settings>
</file>

<file path=word/styles.xml><?xml version="1.0" encoding="utf-8"?>
<w:styles xmlns:w="http://schemas.openxmlformats.org/wordprocessingml/2006/main">
  <w:docDefaults>
    <w:rPrDefault>
      <w:rPr>
        <w:rFonts w:ascii="Aptos" w:hAnsi="Aptos" w:eastAsia="Aptos" w:cs="Aptos"/>
        <w:sz w:val="21"/>
        <w:szCs w:val="21"/>
        <w:color w:val="1F2937"/>
      </w:rPr>
    </w:rPrDefault>
    <w:pPrDefault>
      <w:pPr>
        <w:spacing w:after="120" w:line="276" w:lineRule="auto"/>
      </w:pPr>
    </w:pPrDefault>
  </w:docDefaults>
  <w:style w:type="paragraph" w:default="1" w:styleId="Normal">
    <w:name w:val="Normal"/>
    <w:qFormat/>
  </w:style>
  <w:style w:type="paragraph" w:styleId="Title">
    <w:name w:val="Title"/>
    <w:basedOn w:val="Normal"/>
    <w:next w:val="Subtitle"/>
    <w:qFormat/>
    <w:pPr>
      <w:spacing w:before="400" w:after="120"/>
      <w:jc w:val="center"/>
    </w:pPr>
    <w:rPr>
      <w:rFonts w:ascii="Aptos Display" w:hAnsi="Aptos Display"/>
      <w:b/>
      <w:color w:val="17365D"/>
      <w:sz w:val="40"/>
      <w:szCs w:val="40"/>
    </w:rPr>
  </w:style>
  <w:style w:type="paragraph" w:styleId="Subtitle">
    <w:name w:val="Subtitle"/>
    <w:basedOn w:val="Normal"/>
    <w:qFormat/>
    <w:pPr>
      <w:jc w:val="center"/>
    </w:pPr>
    <w:rPr>
      <w:i/>
      <w:color w:val="5B6573"/>
      <w:sz w:val="24"/>
      <w:szCs w:val="24"/>
    </w:rPr>
  </w:style>
  <w:style w:type="paragraph" w:styleId="Heading1">
    <w:name w:val="heading 1"/>
    <w:basedOn w:val="Normal"/>
    <w:next w:val="Normal"/>
    <w:qFormat/>
    <w:pPr>
      <w:keepNext/>
      <w:keepLines/>
      <w:spacing w:before="300" w:after="120"/>
      <w:outlineLvl w:val="0"/>
    </w:pPr>
    <w:rPr>
      <w:rFonts w:ascii="Aptos Display" w:hAnsi="Aptos Display"/>
      <w:b/>
      <w:color w:val="17365D"/>
      <w:sz w:val="30"/>
      <w:szCs w:val="30"/>
    </w:rPr>
  </w:style>
  <w:style w:type="paragraph" w:styleId="Heading2">
    <w:name w:val="heading 2"/>
    <w:basedOn w:val="Normal"/>
    <w:next w:val="Normal"/>
    <w:qFormat/>
    <w:pPr>
      <w:keepNext/>
      <w:keepLines/>
      <w:spacing w:before="220" w:after="80"/>
      <w:outlineLvl w:val="1"/>
    </w:pPr>
    <w:rPr>
      <w:b/>
      <w:color w:val="2F5597"/>
      <w:sz w:val="24"/>
      <w:szCs w:val="24"/>
    </w:rPr>
  </w:style>
  <w:style w:type="paragraph" w:styleId="IntenseQuote">
    <w:name w:val="Intense Quote"/>
    <w:basedOn w:val="Normal"/>
    <w:qFormat/>
    <w:pPr>
      <w:spacing w:before="100" w:after="160"/>
      <w:ind w:left="520" w:right="520"/>
      <w:jc w:val="left"/>
      <w:pBdr>
        <w:left w:val="single" w:sz="18" w:color="2F75B5" w:space="10"/>
      </w:pBdr>
    </w:pPr>
    <w:rPr>
      <w:i/>
      <w:color w:val="37415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OpenAI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BEIR Benchmark Progress Report</dc:title>
  <dc:subject>Deployable Knowledge public-comparable SciFact evaluation</dc:subject>
  <dc:creator>OpenAI Codex</dc:creator>
  <cp:keywords>BEIR; SciFact; retrieval; BM25; semantic; hybrid; benchmark</cp:keywords>
  <dc:description>Detailed report of BEIR harness work and test results completed September 14–15, 2026.</dc:description>
  <dcterms:created xsi:type="dcterms:W3CDTF">2026-09-15T15:51:54Z</dcterms:created>
  <dcterms:modified xsi:type="dcterms:W3CDTF">2026-09-15T15:51:54Z</dcterms:modified>
</cp:coreProperties>
</file>