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29"/>
      </w:tblGrid>
      <w:tr>
        <w:tc>
          <w:tcPr>
            <w:tcW w:type="dxa" w:w="9029"/>
            <w:shd w:fill="0E2C43"/>
            <w:tcMar>
              <w:top w:w="280" w:type="dxa"/>
              <w:bottom w:w="280" w:type="dxa"/>
              <w:left w:w="280" w:type="dxa"/>
              <w:right w:w="280" w:type="dxa"/>
            </w:tcMar>
          </w:tcPr>
          <w:p>
            <w:pPr>
              <w:spacing w:after="120"/>
              <w:jc w:val="center"/>
            </w:pPr>
            <w:r>
              <w:rPr>
                <w:rFonts w:ascii="Arial" w:hAnsi="Arial"/>
                <w:b/>
                <w:color w:val="FFFFFF"/>
                <w:sz w:val="36"/>
              </w:rPr>
              <w:t>DOSSIER STRATÉGIQUE D'INVESTISSEMENT</w:t>
              <w:br/>
              <w:t>ET PLAN D'AFFAIRES INDUSTRIEL</w:t>
            </w:r>
          </w:p>
          <w:p>
            <w:pPr>
              <w:spacing w:after="0"/>
              <w:jc w:val="center"/>
            </w:pPr>
            <w:r>
              <w:rPr>
                <w:rFonts w:ascii="Calibri" w:hAnsi="Calibri"/>
                <w:i/>
                <w:color w:val="D9B677"/>
                <w:sz w:val="24"/>
              </w:rPr>
              <w:t>18 EITHING SARL — Kétou, Bénin</w:t>
              <w:br/>
              <w:t>Unité Industrielle de Recyclage et Broyage des Déchets Plastiques (PP &amp; PEHD)</w:t>
            </w:r>
          </w:p>
        </w:tc>
      </w:tr>
    </w:tbl>
    <w:p>
      <w:pPr>
        <w:spacing w:after="240"/>
      </w:pPr>
    </w:p>
    <w:tbl>
      <w:tblPr>
        <w:tblW w:type="auto" w:w="0"/>
        <w:jc w:val="center"/>
        <w:tblLook w:firstColumn="1" w:firstRow="1" w:lastColumn="0" w:lastRow="0" w:noHBand="0" w:noVBand="1" w:val="04A0"/>
      </w:tblPr>
      <w:tblGrid>
        <w:gridCol w:w="9029"/>
      </w:tblGrid>
      <w:tr>
        <w:tc>
          <w:tcPr>
            <w:tcW w:type="dxa" w:w="9029"/>
            <w:shd w:fill="F4EFE9"/>
            <w:tcMar>
              <w:top w:w="180" w:type="dxa"/>
              <w:bottom w:w="180" w:type="dxa"/>
              <w:left w:w="240" w:type="dxa"/>
              <w:right w:w="240" w:type="dxa"/>
            </w:tcMar>
            <w:tcBorders>
              <w:left w:val="single" w:sz="24" w:space="0" w:color="C99B5B"/>
              <w:top w:val="none"/>
              <w:right w:val="none"/>
              <w:bottom w:val="none"/>
            </w:tcBorders>
          </w:tcPr>
          <w:p>
            <w:pPr>
              <w:spacing w:before="0" w:after="80"/>
            </w:pPr>
            <w:r>
              <w:rPr>
                <w:rFonts w:ascii="Arial" w:hAnsi="Arial"/>
                <w:b/>
                <w:color w:val="0E2C43"/>
                <w:sz w:val="22"/>
              </w:rPr>
              <w:t>SYNTHÈSE DU PROJET &amp; DIRECTION GÉNÉRALE</w:t>
            </w:r>
          </w:p>
          <w:p>
            <w:pPr>
              <w:spacing w:before="40" w:after="0" w:line="276" w:lineRule="auto"/>
            </w:pPr>
            <w:r>
              <w:rPr>
                <w:rFonts w:ascii="Calibri" w:hAnsi="Calibri"/>
                <w:i/>
                <w:color w:val="333333"/>
                <w:sz w:val="21"/>
              </w:rPr>
              <w:t>• Implantation : Kétou (Département du Plateau, République du Bénin)</w:t>
              <w:br/>
              <w:t>• Dirigeants : M. Hubert C. TOKPANOU (DG - Finance &amp; Supply Chain) &amp; M. Pedro S. KPONON (Gérant - SST &amp; Ergonomie)</w:t>
              <w:br/>
              <w:t>• Besoin de financement : 28 000 000 FCFA (CAPEX &amp; BFR de démarrage)</w:t>
              <w:br/>
              <w:t>• Capacité industrielle : 52,8 Tonnes/mois de plastique rigide (45 Tonnes de broyat marchand PP/PEHD)</w:t>
            </w:r>
          </w:p>
        </w:tc>
      </w:tr>
    </w:tbl>
    <w:p>
      <w:pPr>
        <w:spacing w:after="120"/>
      </w:pPr>
    </w:p>
    <w:p>
      <w:pPr>
        <w:keepNext/>
        <w:spacing w:before="360" w:after="120"/>
        <w:pBdr>
          <w:bottom w:val="single" w:sz="12" w:space="4" w:color="C99B5B"/>
        </w:pBdr>
      </w:pPr>
      <w:r>
        <w:rPr>
          <w:rFonts w:ascii="Arial" w:hAnsi="Arial"/>
          <w:b/>
          <w:color w:val="0E2C43"/>
          <w:sz w:val="28"/>
        </w:rPr>
        <w:t>1. RÉSUMÉ EXÉCUTIF &amp; THÈSE D'INVESTISSEMENT</w:t>
      </w:r>
    </w:p>
    <w:p>
      <w:pPr>
        <w:keepNext/>
        <w:spacing w:before="280" w:after="80"/>
      </w:pPr>
      <w:r>
        <w:rPr>
          <w:rFonts w:ascii="Arial" w:hAnsi="Arial"/>
          <w:b/>
          <w:color w:val="B66A3F"/>
          <w:sz w:val="24"/>
        </w:rPr>
        <w:t>1.1 Problématique environnementale et opportunité industrielle au Bénin</w:t>
      </w:r>
    </w:p>
    <w:p>
      <w:pPr>
        <w:spacing w:after="120" w:line="276" w:lineRule="auto"/>
      </w:pPr>
      <w:r>
        <w:t>La gestion des déchets solides ménagers et industriels constitue l'un des défis majeurs du développement urbain et économique en République du Bénin. Chaque année, plus de 100 000 tonnes de plastiques rigides et souples sont générées sur l'ensemble du territoire national, dont seule une fraction inférieure à 8 % fait l'objet d'un recyclage formel. Le reste s'accumule dans la nature, bouche les réseaux d'évacuation d'eaux pluviales ou brûle à l'air libre, générant des risques sanitaires et écologiques majeurs.</w:t>
      </w:r>
    </w:p>
    <w:p>
      <w:pPr>
        <w:spacing w:after="120" w:line="276" w:lineRule="auto"/>
      </w:pPr>
      <w:r>
        <w:t>Parallèlement, l'industrie manufacturière régionale (plasturgie, emballages, BTP, canalisations) fait face à un coût d'approvisionnement élevé en résines vierges importées (PP, PEHD), directement impactées par la volatilité des cours mondiaux du pétrole et le coût du fret maritime.</w:t>
      </w:r>
    </w:p>
    <w:p>
      <w:pPr>
        <w:spacing w:after="120" w:line="276" w:lineRule="auto"/>
      </w:pPr>
      <w:r>
        <w:t>18 EITHING SARL apporte une réponse industrielle concrète en structurant la filière de collecte et de transformation primaire des plastiques rigides (PP et PEHD) en broyats calibrés de haute qualité, répondant aux standards des plasturgistes béninois et sous-régionaux (Nigeria, Togo).</w:t>
      </w:r>
    </w:p>
    <w:p>
      <w:pPr>
        <w:keepNext/>
        <w:spacing w:before="280" w:after="80"/>
      </w:pPr>
      <w:r>
        <w:rPr>
          <w:rFonts w:ascii="Arial" w:hAnsi="Arial"/>
          <w:b/>
          <w:color w:val="B66A3F"/>
          <w:sz w:val="24"/>
        </w:rPr>
        <w:t>1.2 Proposition de valeur unique : Positionnement Kétou vs Littoral/Cotonou</w:t>
      </w:r>
    </w:p>
    <w:p>
      <w:pPr>
        <w:spacing w:after="120" w:line="276" w:lineRule="auto"/>
      </w:pPr>
      <w:r>
        <w:t>Contrairement aux rares initiatives concentrées dans la zone saturée du Littoral (Cotonou, Akpakpa) caractérisée par un coût du foncier exorbitant, des coûts salariaux élevés et une concurrence acharnée sur le gisement local de déchets, 18 EITHING SARL positionne son unité industrielle de broyage à Kétou (Plateau).</w:t>
      </w:r>
    </w:p>
    <w:p>
      <w:pPr>
        <w:spacing w:after="80" w:line="276" w:lineRule="auto"/>
      </w:pPr>
      <w:r>
        <w:t>Ce choix d'implantation stratégique offre des avantages comparatifs déterminants :</w:t>
      </w:r>
    </w:p>
    <w:p>
      <w:pPr>
        <w:pStyle w:val="ListBullet"/>
        <w:spacing w:after="60" w:line="276" w:lineRule="auto"/>
      </w:pPr>
      <w:r>
        <w:rPr>
          <w:b/>
          <w:color w:val="0E2C43"/>
        </w:rPr>
        <w:t xml:space="preserve">Gisement transfrontalier et territorial massif : </w:t>
      </w:r>
      <w:r>
        <w:t>Accès direct aux flux de plastiques rigides ménagers et agricoles des départements du Plateau, de Zou, de la Colline, ainsi qu'aux flux informels de la frontière nigériane (à proximité immédiate d'Ihara et d'Igangan).</w:t>
      </w:r>
    </w:p>
    <w:p>
      <w:pPr>
        <w:pStyle w:val="ListBullet"/>
        <w:spacing w:after="60" w:line="276" w:lineRule="auto"/>
      </w:pPr>
      <w:r>
        <w:rPr>
          <w:b/>
          <w:color w:val="0E2C43"/>
        </w:rPr>
        <w:t xml:space="preserve">Coût d'exploitation et foncier compétitif : </w:t>
      </w:r>
      <w:r>
        <w:t>Optimisation majeure du CAPEX d'implantation et des charges fixes d'exploitation (loyer industriel et main-d'œuvre locale qualifiée).</w:t>
      </w:r>
    </w:p>
    <w:p>
      <w:pPr>
        <w:pStyle w:val="ListBullet"/>
        <w:spacing w:after="60" w:line="276" w:lineRule="auto"/>
      </w:pPr>
      <w:r>
        <w:rPr>
          <w:b/>
          <w:color w:val="0E2C43"/>
        </w:rPr>
        <w:t xml:space="preserve">Nœud logistique stratégique : </w:t>
      </w:r>
      <w:r>
        <w:t>Proximité des grands axes routiers RNIE 4 et RN3 permettant de desservir à la fois le marché du Littoral (Cotonou) et les marchés d'exportation sous-régionaux.</w:t>
      </w:r>
    </w:p>
    <w:p>
      <w:pPr>
        <w:keepNext/>
        <w:spacing w:before="280" w:after="80"/>
      </w:pPr>
      <w:r>
        <w:rPr>
          <w:rFonts w:ascii="Arial" w:hAnsi="Arial"/>
          <w:b/>
          <w:color w:val="B66A3F"/>
          <w:sz w:val="24"/>
        </w:rPr>
        <w:t>1.3 Gouvernance et synergie d'expertises des fondateurs</w:t>
      </w:r>
    </w:p>
    <w:p>
      <w:pPr>
        <w:spacing w:after="120" w:line="276" w:lineRule="auto"/>
      </w:pPr>
      <w:r>
        <w:t>La direction de 18 EITHING SARL repose sur un tandem exécutif hautement complémentaire, combinant rigueur financière, excellence logistique et maîtrise de la santé au travail :</w:t>
      </w:r>
    </w:p>
    <w:p>
      <w:pPr>
        <w:spacing w:before="80" w:after="40" w:line="276" w:lineRule="auto"/>
      </w:pPr>
      <w:r>
        <w:rPr>
          <w:b/>
          <w:color w:val="0E2C43"/>
        </w:rPr>
        <w:t xml:space="preserve">• M. Hubert C. TOKPANOU </w:t>
      </w:r>
      <w:r>
        <w:rPr>
          <w:i/>
        </w:rPr>
        <w:t>– Directeur Général (Pôle Logistique, Supply Chain &amp; Finance)</w:t>
      </w:r>
    </w:p>
    <w:p>
      <w:pPr>
        <w:pStyle w:val="ListBullet2"/>
        <w:spacing w:after="40" w:line="276" w:lineRule="auto"/>
      </w:pPr>
      <w:r>
        <w:t>Expertise approfondie en ingénierie logistique, négociation commerciale, gestion financière et structuration de flux d'approvisionnement complexes.</w:t>
      </w:r>
    </w:p>
    <w:p>
      <w:pPr>
        <w:pStyle w:val="ListBullet2"/>
        <w:spacing w:after="40" w:line="276" w:lineRule="auto"/>
      </w:pPr>
      <w:r>
        <w:t>En charge du pilotage de la rentabilité, des relations bancaires et investisseurs, de l'optimisation des coûts de transport et de la sécurisation des contrats d'approvisionnement et de vente.</w:t>
      </w:r>
    </w:p>
    <w:p>
      <w:pPr>
        <w:spacing w:before="80" w:after="40" w:line="276" w:lineRule="auto"/>
      </w:pPr>
      <w:r>
        <w:rPr>
          <w:b/>
          <w:color w:val="0E2C43"/>
        </w:rPr>
        <w:t xml:space="preserve">• M. Pedro S. KPONON </w:t>
      </w:r>
      <w:r>
        <w:rPr>
          <w:i/>
        </w:rPr>
        <w:t>– Gérant (Pôle SST, Ergonomie &amp; Santé/Psychologie du Travail)</w:t>
      </w:r>
    </w:p>
    <w:p>
      <w:pPr>
        <w:pStyle w:val="ListBullet2"/>
        <w:spacing w:after="40" w:line="276" w:lineRule="auto"/>
      </w:pPr>
      <w:r>
        <w:t>Expert en Santé et Sécurité au Travail (SST), organisation ergonomique des postes et santé mentale/psychologie industrielle.</w:t>
      </w:r>
    </w:p>
    <w:p>
      <w:pPr>
        <w:pStyle w:val="ListBullet2"/>
        <w:spacing w:after="40" w:line="276" w:lineRule="auto"/>
      </w:pPr>
      <w:r>
        <w:t>En charge de la conception ergonomique du site, de la réduction de la pénibilité physique sur la chaîne de tri/broyage, de la conformité environnementale et de la politique Zéro Accident.</w:t>
      </w:r>
    </w:p>
    <w:p>
      <w:pPr>
        <w:keepNext/>
        <w:spacing w:before="360" w:after="120"/>
        <w:pBdr>
          <w:bottom w:val="single" w:sz="12" w:space="4" w:color="C99B5B"/>
        </w:pBdr>
      </w:pPr>
      <w:r>
        <w:rPr>
          <w:rFonts w:ascii="Arial" w:hAnsi="Arial"/>
          <w:b/>
          <w:color w:val="0E2C43"/>
          <w:sz w:val="28"/>
        </w:rPr>
        <w:t>2. INGÉNIERIE STRATÉGIQUE &amp; MODÈLE D'AFFAIRES (BUSINESS MODEL CANVAS)</w:t>
      </w:r>
    </w:p>
    <w:p>
      <w:pPr>
        <w:keepNext/>
        <w:spacing w:before="280" w:after="80"/>
      </w:pPr>
      <w:r>
        <w:rPr>
          <w:rFonts w:ascii="Arial" w:hAnsi="Arial"/>
          <w:b/>
          <w:color w:val="B66A3F"/>
          <w:sz w:val="24"/>
        </w:rPr>
        <w:t>2.1 Analyse synthétique du Business Model Canvas (BMC)</w:t>
      </w:r>
    </w:p>
    <w:p>
      <w:pPr>
        <w:keepNext/>
        <w:spacing w:before="200" w:after="40"/>
      </w:pPr>
      <w:r>
        <w:rPr>
          <w:rFonts w:ascii="Arial" w:hAnsi="Arial"/>
          <w:b/>
          <w:color w:val="1F2D3D"/>
          <w:sz w:val="22"/>
        </w:rPr>
        <w:t>1. Partenaires Clés</w:t>
      </w:r>
    </w:p>
    <w:p>
      <w:pPr>
        <w:pStyle w:val="ListBullet"/>
        <w:spacing w:after="40" w:line="276" w:lineRule="auto"/>
      </w:pPr>
      <w:r>
        <w:t>Associations de collecteurs informels et grossistes de déchets (Plateau/Zou).</w:t>
      </w:r>
    </w:p>
    <w:p>
      <w:pPr>
        <w:pStyle w:val="ListBullet"/>
        <w:spacing w:after="40" w:line="276" w:lineRule="auto"/>
      </w:pPr>
      <w:r>
        <w:t>Municipalités de Kétou, Pobè et Sakété (concessions de tri).</w:t>
      </w:r>
    </w:p>
    <w:p>
      <w:pPr>
        <w:pStyle w:val="ListBullet"/>
        <w:spacing w:after="40" w:line="276" w:lineRule="auto"/>
      </w:pPr>
      <w:r>
        <w:t>Fournisseurs d'équipements industriels et sous-traitants de maintenance.</w:t>
      </w:r>
    </w:p>
    <w:p>
      <w:pPr>
        <w:pStyle w:val="ListBullet"/>
        <w:spacing w:after="40" w:line="276" w:lineRule="auto"/>
      </w:pPr>
      <w:r>
        <w:t>Industriels plasturgistes locaux et régionaux (acheteurs de broyat PP/PEHD).</w:t>
      </w:r>
    </w:p>
    <w:p>
      <w:pPr>
        <w:keepNext/>
        <w:spacing w:before="200" w:after="40"/>
      </w:pPr>
      <w:r>
        <w:rPr>
          <w:rFonts w:ascii="Arial" w:hAnsi="Arial"/>
          <w:b/>
          <w:color w:val="1F2D3D"/>
          <w:sz w:val="22"/>
        </w:rPr>
        <w:t>2. Activités Clés</w:t>
      </w:r>
    </w:p>
    <w:p>
      <w:pPr>
        <w:pStyle w:val="ListBullet"/>
        <w:spacing w:after="40" w:line="276" w:lineRule="auto"/>
      </w:pPr>
      <w:r>
        <w:t>Sourcing, pesée et achat des déchets plastiques rigides.</w:t>
      </w:r>
    </w:p>
    <w:p>
      <w:pPr>
        <w:pStyle w:val="ListBullet"/>
        <w:spacing w:after="40" w:line="276" w:lineRule="auto"/>
      </w:pPr>
      <w:r>
        <w:t>Tri qualitatif par résine (PP vs PEHD) et par couleur.</w:t>
      </w:r>
    </w:p>
    <w:p>
      <w:pPr>
        <w:pStyle w:val="ListBullet"/>
        <w:spacing w:after="40" w:line="276" w:lineRule="auto"/>
      </w:pPr>
      <w:r>
        <w:t>Lavage, décontamination primaire et séchage.</w:t>
      </w:r>
    </w:p>
    <w:p>
      <w:pPr>
        <w:pStyle w:val="ListBullet"/>
        <w:spacing w:after="40" w:line="276" w:lineRule="auto"/>
      </w:pPr>
      <w:r>
        <w:t>Broyage industriel et calibrage (grilles 8-10 mm).</w:t>
      </w:r>
    </w:p>
    <w:p>
      <w:pPr>
        <w:pStyle w:val="ListBullet"/>
        <w:spacing w:after="40" w:line="276" w:lineRule="auto"/>
      </w:pPr>
      <w:r>
        <w:t>Conditionnement en Big Bags (25-50 kg) et livraison.</w:t>
      </w:r>
    </w:p>
    <w:p>
      <w:pPr>
        <w:keepNext/>
        <w:spacing w:before="200" w:after="40"/>
      </w:pPr>
      <w:r>
        <w:rPr>
          <w:rFonts w:ascii="Arial" w:hAnsi="Arial"/>
          <w:b/>
          <w:color w:val="1F2D3D"/>
          <w:sz w:val="22"/>
        </w:rPr>
        <w:t>3. Ressources Clés</w:t>
      </w:r>
    </w:p>
    <w:p>
      <w:pPr>
        <w:pStyle w:val="ListBullet"/>
        <w:spacing w:after="40" w:line="276" w:lineRule="auto"/>
      </w:pPr>
      <w:r>
        <w:t>Ligne industrielle de broyage 15 HP et bacs de lavage à recirculation.</w:t>
      </w:r>
    </w:p>
    <w:p>
      <w:pPr>
        <w:pStyle w:val="ListBullet"/>
        <w:spacing w:after="40" w:line="276" w:lineRule="auto"/>
      </w:pPr>
      <w:r>
        <w:t>Terrain industriel sécurisé de 1 500 m² à Kétou.</w:t>
      </w:r>
    </w:p>
    <w:p>
      <w:pPr>
        <w:pStyle w:val="ListBullet"/>
        <w:spacing w:after="40" w:line="276" w:lineRule="auto"/>
      </w:pPr>
      <w:r>
        <w:t>Réseau logistique de collecte et capital humain formé aux règles SST.</w:t>
      </w:r>
    </w:p>
    <w:p>
      <w:pPr>
        <w:keepNext/>
        <w:spacing w:before="200" w:after="40"/>
      </w:pPr>
      <w:r>
        <w:rPr>
          <w:rFonts w:ascii="Arial" w:hAnsi="Arial"/>
          <w:b/>
          <w:color w:val="1F2D3D"/>
          <w:sz w:val="22"/>
        </w:rPr>
        <w:t>4. Proposition de Valeur</w:t>
      </w:r>
    </w:p>
    <w:p>
      <w:pPr>
        <w:pStyle w:val="ListBullet"/>
        <w:spacing w:after="40" w:line="276" w:lineRule="auto"/>
      </w:pPr>
      <w:r>
        <w:t>Pour les plasturgistes : Broyats purs à 98 %, réduction de 35 % du coût matière vs résine vierge.</w:t>
      </w:r>
    </w:p>
    <w:p>
      <w:pPr>
        <w:pStyle w:val="ListBullet"/>
        <w:spacing w:after="40" w:line="276" w:lineRule="auto"/>
      </w:pPr>
      <w:r>
        <w:t>Pour la collectivité : Assainissement territorial, création d'emplois locaux pérennes.</w:t>
      </w:r>
    </w:p>
    <w:p>
      <w:pPr>
        <w:keepNext/>
        <w:spacing w:before="200" w:after="40"/>
      </w:pPr>
      <w:r>
        <w:rPr>
          <w:rFonts w:ascii="Arial" w:hAnsi="Arial"/>
          <w:b/>
          <w:color w:val="1F2D3D"/>
          <w:sz w:val="22"/>
        </w:rPr>
        <w:t>5. Relations Clients</w:t>
      </w:r>
    </w:p>
    <w:p>
      <w:pPr>
        <w:pStyle w:val="ListBullet"/>
        <w:spacing w:after="40" w:line="276" w:lineRule="auto"/>
      </w:pPr>
      <w:r>
        <w:t>Contrats d'approvisionnement pluriannuels à volumes et prix garantis.</w:t>
      </w:r>
    </w:p>
    <w:p>
      <w:pPr>
        <w:pStyle w:val="ListBullet"/>
        <w:spacing w:after="40" w:line="276" w:lineRule="auto"/>
      </w:pPr>
      <w:r>
        <w:t>Assistance technique, fourniture d'échantillons et garantie de régularité.</w:t>
      </w:r>
    </w:p>
    <w:p>
      <w:pPr>
        <w:keepNext/>
        <w:spacing w:before="200" w:after="40"/>
      </w:pPr>
      <w:r>
        <w:rPr>
          <w:rFonts w:ascii="Arial" w:hAnsi="Arial"/>
          <w:b/>
          <w:color w:val="1F2D3D"/>
          <w:sz w:val="22"/>
        </w:rPr>
        <w:t>6. Canaux de Distribution</w:t>
      </w:r>
    </w:p>
    <w:p>
      <w:pPr>
        <w:pStyle w:val="ListBullet"/>
        <w:spacing w:after="40" w:line="276" w:lineRule="auto"/>
      </w:pPr>
      <w:r>
        <w:t>Vente directe B2B via l'équipe commerciale interne.</w:t>
      </w:r>
    </w:p>
    <w:p>
      <w:pPr>
        <w:pStyle w:val="ListBullet"/>
        <w:spacing w:after="40" w:line="276" w:lineRule="auto"/>
      </w:pPr>
      <w:r>
        <w:t>Livraisons directes par camionnage dédié vers Cotonou et Porto-Novo.</w:t>
      </w:r>
    </w:p>
    <w:p>
      <w:pPr>
        <w:keepNext/>
        <w:spacing w:before="200" w:after="40"/>
      </w:pPr>
      <w:r>
        <w:rPr>
          <w:rFonts w:ascii="Arial" w:hAnsi="Arial"/>
          <w:b/>
          <w:color w:val="1F2D3D"/>
          <w:sz w:val="22"/>
        </w:rPr>
        <w:t>7. Segments de Clientèle</w:t>
      </w:r>
    </w:p>
    <w:p>
      <w:pPr>
        <w:pStyle w:val="ListBullet"/>
        <w:spacing w:after="40" w:line="276" w:lineRule="auto"/>
      </w:pPr>
      <w:r>
        <w:t>Fabricants d'emballages plastiques rigides et conduits BTP.</w:t>
      </w:r>
    </w:p>
    <w:p>
      <w:pPr>
        <w:pStyle w:val="ListBullet"/>
        <w:spacing w:after="40" w:line="276" w:lineRule="auto"/>
      </w:pPr>
      <w:r>
        <w:t>Unités d'injection/soufflage d'ustensiles ménagers (bassines, seaux).</w:t>
      </w:r>
    </w:p>
    <w:p>
      <w:pPr>
        <w:pStyle w:val="ListBullet"/>
        <w:spacing w:after="40" w:line="276" w:lineRule="auto"/>
      </w:pPr>
      <w:r>
        <w:t>Exportateurs sous-régionaux.</w:t>
      </w:r>
    </w:p>
    <w:p>
      <w:pPr>
        <w:keepNext/>
        <w:spacing w:before="200" w:after="40"/>
      </w:pPr>
      <w:r>
        <w:rPr>
          <w:rFonts w:ascii="Arial" w:hAnsi="Arial"/>
          <w:b/>
          <w:color w:val="1F2D3D"/>
          <w:sz w:val="22"/>
        </w:rPr>
        <w:t>8. Structure de Coûts</w:t>
      </w:r>
    </w:p>
    <w:p>
      <w:pPr>
        <w:pStyle w:val="ListBullet"/>
        <w:spacing w:after="40" w:line="276" w:lineRule="auto"/>
      </w:pPr>
      <w:r>
        <w:t>Achats de matière brute plastique aux collecteurs (FCFA/kg).</w:t>
      </w:r>
    </w:p>
    <w:p>
      <w:pPr>
        <w:pStyle w:val="ListBullet"/>
        <w:spacing w:after="40" w:line="276" w:lineRule="auto"/>
      </w:pPr>
      <w:r>
        <w:t>Consommation d'énergie (Sbee triphasé + groupe secours) et carburant.</w:t>
      </w:r>
    </w:p>
    <w:p>
      <w:pPr>
        <w:pStyle w:val="ListBullet"/>
        <w:spacing w:after="40" w:line="276" w:lineRule="auto"/>
      </w:pPr>
      <w:r>
        <w:t>Masse salariale (10 personnes) et maintenance préventive.</w:t>
      </w:r>
    </w:p>
    <w:p>
      <w:pPr>
        <w:keepNext/>
        <w:spacing w:before="200" w:after="40"/>
      </w:pPr>
      <w:r>
        <w:rPr>
          <w:rFonts w:ascii="Arial" w:hAnsi="Arial"/>
          <w:b/>
          <w:color w:val="1F2D3D"/>
          <w:sz w:val="22"/>
        </w:rPr>
        <w:t>9. Flux de Revenus</w:t>
      </w:r>
    </w:p>
    <w:p>
      <w:pPr>
        <w:pStyle w:val="ListBullet"/>
        <w:spacing w:after="40" w:line="276" w:lineRule="auto"/>
      </w:pPr>
      <w:r>
        <w:t>Vente au tonnage de broyat PP calibré.</w:t>
      </w:r>
    </w:p>
    <w:p>
      <w:pPr>
        <w:pStyle w:val="ListBullet"/>
        <w:spacing w:after="40" w:line="276" w:lineRule="auto"/>
      </w:pPr>
      <w:r>
        <w:t>Vente au tonnage de broyat PEHD calibré.</w:t>
      </w:r>
    </w:p>
    <w:p>
      <w:pPr>
        <w:pStyle w:val="ListBullet"/>
        <w:spacing w:after="40" w:line="276" w:lineRule="auto"/>
      </w:pPr>
      <w:r>
        <w:t>Prestations de broyage à façon pour tiers.</w:t>
      </w:r>
    </w:p>
    <w:p>
      <w:pPr>
        <w:keepNext/>
        <w:spacing w:before="280" w:after="80"/>
      </w:pPr>
      <w:r>
        <w:rPr>
          <w:rFonts w:ascii="Arial" w:hAnsi="Arial"/>
          <w:b/>
          <w:color w:val="B66A3F"/>
          <w:sz w:val="24"/>
        </w:rPr>
        <w:t>2.2 Cartographie des flux d'approvisionnement (4 Bassins Logistiques)</w:t>
      </w:r>
    </w:p>
    <w:p>
      <w:pPr>
        <w:pStyle w:val="ListBullet"/>
        <w:spacing w:after="60" w:line="276" w:lineRule="auto"/>
      </w:pPr>
      <w:r>
        <w:rPr>
          <w:b/>
          <w:color w:val="0E2C43"/>
        </w:rPr>
        <w:t xml:space="preserve">Zone 1 : Bassin Principal de Kétou &amp; Plateau : </w:t>
      </w:r>
      <w:r>
        <w:t>Collecte directe, proximité immédiate, faible coût logistique.</w:t>
      </w:r>
    </w:p>
    <w:p>
      <w:pPr>
        <w:pStyle w:val="ListBullet"/>
        <w:spacing w:after="60" w:line="276" w:lineRule="auto"/>
      </w:pPr>
      <w:r>
        <w:rPr>
          <w:b/>
          <w:color w:val="0E2C43"/>
        </w:rPr>
        <w:t xml:space="preserve">Zone 2 : Bassin Sud - Littoral / Porto-Novo : </w:t>
      </w:r>
      <w:r>
        <w:t>Rapatriement optimisé par retours à vide des camions de livraison.</w:t>
      </w:r>
    </w:p>
    <w:p>
      <w:pPr>
        <w:pStyle w:val="ListBullet"/>
        <w:spacing w:after="60" w:line="276" w:lineRule="auto"/>
      </w:pPr>
      <w:r>
        <w:rPr>
          <w:b/>
          <w:color w:val="0E2C43"/>
        </w:rPr>
        <w:t xml:space="preserve">Zone 3 : Bassin Centre &amp; Ouest - Zou / Collines : </w:t>
      </w:r>
      <w:r>
        <w:t>Points de regroupement partenaires à Abomey, Bohicon et Dassa.</w:t>
      </w:r>
    </w:p>
    <w:p>
      <w:pPr>
        <w:pStyle w:val="ListBullet"/>
        <w:spacing w:after="60" w:line="276" w:lineRule="auto"/>
      </w:pPr>
      <w:r>
        <w:rPr>
          <w:b/>
          <w:color w:val="0E2C43"/>
        </w:rPr>
        <w:t xml:space="preserve">Zone 4 : Axe Transfrontalier Nigeria : </w:t>
      </w:r>
      <w:r>
        <w:t>Sourcing complémentaire sur opportunités de marché à Ihara/Igangan.</w:t>
      </w:r>
    </w:p>
    <w:p>
      <w:pPr>
        <w:keepNext/>
        <w:spacing w:before="360" w:after="120"/>
        <w:pBdr>
          <w:bottom w:val="single" w:sz="12" w:space="4" w:color="C99B5B"/>
        </w:pBdr>
      </w:pPr>
      <w:r>
        <w:rPr>
          <w:rFonts w:ascii="Arial" w:hAnsi="Arial"/>
          <w:b/>
          <w:color w:val="0E2C43"/>
          <w:sz w:val="28"/>
        </w:rPr>
        <w:t>3. PROCESSUS TECHNIQUE &amp; INGÉNIERIE OPÉRATIONNELLE</w:t>
      </w:r>
    </w:p>
    <w:p>
      <w:pPr>
        <w:keepNext/>
        <w:spacing w:before="280" w:after="80"/>
      </w:pPr>
      <w:r>
        <w:rPr>
          <w:rFonts w:ascii="Arial" w:hAnsi="Arial"/>
          <w:b/>
          <w:color w:val="B66A3F"/>
          <w:sz w:val="24"/>
        </w:rPr>
        <w:t>3.1 Description séquentielle du processus de production (7 Étapes)</w:t>
      </w:r>
    </w:p>
    <w:p>
      <w:pPr>
        <w:spacing w:before="60" w:after="60" w:line="276" w:lineRule="auto"/>
      </w:pPr>
      <w:r>
        <w:rPr>
          <w:b/>
          <w:color w:val="0E2C43"/>
        </w:rPr>
        <w:t xml:space="preserve">• Étape 1 : Réception et Pesée à l'Entrée : </w:t>
      </w:r>
      <w:r>
        <w:t>Contrôle des lots entrants sur pèse-essieu, enregistrement informatique de la provenance, du poids brut et de la catégorie de plastique.</w:t>
      </w:r>
    </w:p>
    <w:p>
      <w:pPr>
        <w:spacing w:before="60" w:after="60" w:line="276" w:lineRule="auto"/>
      </w:pPr>
      <w:r>
        <w:rPr>
          <w:b/>
          <w:color w:val="0E2C43"/>
        </w:rPr>
        <w:t xml:space="preserve">• Étape 2 : Tri Manuel Sélectif et Dépollution : </w:t>
      </w:r>
      <w:r>
        <w:t>Séparation rigoureuse par famille polymère (PP vs PEHD) et retrait systématique des corps étrangers (métaux, verre, papier, PVC/PET).</w:t>
      </w:r>
    </w:p>
    <w:p>
      <w:pPr>
        <w:spacing w:before="60" w:after="60" w:line="276" w:lineRule="auto"/>
      </w:pPr>
      <w:r>
        <w:rPr>
          <w:b/>
          <w:color w:val="0E2C43"/>
        </w:rPr>
        <w:t xml:space="preserve">• Étape 3 : Pré-lavage et Dégraissage : </w:t>
      </w:r>
      <w:r>
        <w:t>Trempage dans des bacs de décantation afin d'éliminer les boues, sables et matières organiques superficielles.</w:t>
      </w:r>
    </w:p>
    <w:p>
      <w:pPr>
        <w:spacing w:before="60" w:after="60" w:line="276" w:lineRule="auto"/>
      </w:pPr>
      <w:r>
        <w:rPr>
          <w:b/>
          <w:color w:val="0E2C43"/>
        </w:rPr>
        <w:t xml:space="preserve">• Étape 4 : Broyage Industriel Mécanique : </w:t>
      </w:r>
      <w:r>
        <w:t>Alimentation continue du broyeur 15 HP équipé de lames en acier au chrome à haute résistance. Passage à travers une grille de 8 à 10 mm.</w:t>
      </w:r>
    </w:p>
    <w:p>
      <w:pPr>
        <w:spacing w:before="60" w:after="60" w:line="276" w:lineRule="auto"/>
      </w:pPr>
      <w:r>
        <w:rPr>
          <w:b/>
          <w:color w:val="0E2C43"/>
        </w:rPr>
        <w:t xml:space="preserve">• Étape 5 : Lavage Continu &amp; Rinçage : </w:t>
      </w:r>
      <w:r>
        <w:t>Lavage haute efficacité des paillettes broyées avec système de clarification et de recyclage de l'eau en circuit fermé.</w:t>
      </w:r>
    </w:p>
    <w:p>
      <w:pPr>
        <w:spacing w:before="60" w:after="60" w:line="276" w:lineRule="auto"/>
      </w:pPr>
      <w:r>
        <w:rPr>
          <w:b/>
          <w:color w:val="0E2C43"/>
        </w:rPr>
        <w:t xml:space="preserve">• Étape 6 : Séchage &amp; Dépoussiérage : </w:t>
      </w:r>
      <w:r>
        <w:t>Essorage centrifuge mécanique suivi d'un passage en serre solaire thermiquement optimisée (&lt; 1 % d'humidité).</w:t>
      </w:r>
    </w:p>
    <w:p>
      <w:pPr>
        <w:spacing w:before="60" w:after="60" w:line="276" w:lineRule="auto"/>
      </w:pPr>
      <w:r>
        <w:rPr>
          <w:b/>
          <w:color w:val="0E2C43"/>
        </w:rPr>
        <w:t xml:space="preserve">• Étape 7 : Contrôle Qualité &amp; Conditionnement : </w:t>
      </w:r>
      <w:r>
        <w:t>Inspection visuelle et granulométrique, ensachage sous Big Bags de 25 kg ou 50 kg, étiquetage et stockage sur palettes.</w:t>
      </w:r>
    </w:p>
    <w:p>
      <w:pPr>
        <w:keepNext/>
        <w:spacing w:before="280" w:after="80"/>
      </w:pPr>
      <w:r>
        <w:rPr>
          <w:rFonts w:ascii="Arial" w:hAnsi="Arial"/>
          <w:b/>
          <w:color w:val="B66A3F"/>
          <w:sz w:val="24"/>
        </w:rPr>
        <w:t>3.2 Fiche technique des équipements majeurs</w:t>
      </w:r>
    </w:p>
    <w:p>
      <w:pPr>
        <w:keepNext/>
        <w:spacing w:before="200" w:after="40"/>
      </w:pPr>
      <w:r>
        <w:rPr>
          <w:rFonts w:ascii="Arial" w:hAnsi="Arial"/>
          <w:b/>
          <w:color w:val="1F2D3D"/>
          <w:sz w:val="22"/>
        </w:rPr>
        <w:t>Broyeur Industriel 15 HP (Lame Heavy Duty)</w:t>
      </w:r>
    </w:p>
    <w:p>
      <w:pPr>
        <w:pStyle w:val="ListBullet"/>
        <w:spacing w:after="40" w:line="276" w:lineRule="auto"/>
      </w:pPr>
      <w:r>
        <w:t>Moteur : 11 kW (15 HP) - Triphasé 380V</w:t>
      </w:r>
    </w:p>
    <w:p>
      <w:pPr>
        <w:pStyle w:val="ListBullet"/>
        <w:spacing w:after="40" w:line="276" w:lineRule="auto"/>
      </w:pPr>
      <w:r>
        <w:t>Capacité nominale : 250 à 350 kg/heure</w:t>
      </w:r>
    </w:p>
    <w:p>
      <w:pPr>
        <w:pStyle w:val="ListBullet"/>
        <w:spacing w:after="40" w:line="276" w:lineRule="auto"/>
      </w:pPr>
      <w:r>
        <w:t>Rotor : 3 lames mobiles + 2 lames fixes en acier spécial anti-abrasion</w:t>
      </w:r>
    </w:p>
    <w:p>
      <w:pPr>
        <w:pStyle w:val="ListBullet"/>
        <w:spacing w:after="40" w:line="276" w:lineRule="auto"/>
      </w:pPr>
      <w:r>
        <w:t>Grille de calibrage : 8 mm / 10 mm interchangeable</w:t>
      </w:r>
    </w:p>
    <w:p>
      <w:pPr>
        <w:keepNext/>
        <w:spacing w:before="200" w:after="40"/>
      </w:pPr>
      <w:r>
        <w:rPr>
          <w:rFonts w:ascii="Arial" w:hAnsi="Arial"/>
          <w:b/>
          <w:color w:val="1F2D3D"/>
          <w:sz w:val="22"/>
        </w:rPr>
        <w:t>Système de Bacs de Lavage et Clarification</w:t>
      </w:r>
    </w:p>
    <w:p>
      <w:pPr>
        <w:pStyle w:val="ListBullet"/>
        <w:spacing w:after="40" w:line="276" w:lineRule="auto"/>
      </w:pPr>
      <w:r>
        <w:t>Bacs inox / PEHD haute résistance de 3 000 Litres</w:t>
      </w:r>
    </w:p>
    <w:p>
      <w:pPr>
        <w:pStyle w:val="ListBullet"/>
        <w:spacing w:after="40" w:line="276" w:lineRule="auto"/>
      </w:pPr>
      <w:r>
        <w:t>Pompe de recirculation et filtres à débris</w:t>
      </w:r>
    </w:p>
    <w:p>
      <w:pPr>
        <w:keepNext/>
        <w:spacing w:before="200" w:after="40"/>
      </w:pPr>
      <w:r>
        <w:rPr>
          <w:rFonts w:ascii="Arial" w:hAnsi="Arial"/>
          <w:b/>
          <w:color w:val="1F2D3D"/>
          <w:sz w:val="22"/>
        </w:rPr>
        <w:t>Serres Solaire de Séchage &amp; Centrifugeuse</w:t>
      </w:r>
    </w:p>
    <w:p>
      <w:pPr>
        <w:pStyle w:val="ListBullet"/>
        <w:spacing w:after="40" w:line="276" w:lineRule="auto"/>
      </w:pPr>
      <w:r>
        <w:t>Séchoir centrifuge rotatif 3 kW</w:t>
      </w:r>
    </w:p>
    <w:p>
      <w:pPr>
        <w:pStyle w:val="ListBullet"/>
        <w:spacing w:after="40" w:line="276" w:lineRule="auto"/>
      </w:pPr>
      <w:r>
        <w:t>Zone de séchage sous serre thermiquement optimisée</w:t>
      </w:r>
    </w:p>
    <w:p>
      <w:pPr>
        <w:keepNext/>
        <w:spacing w:before="200" w:after="40"/>
      </w:pPr>
      <w:r>
        <w:rPr>
          <w:rFonts w:ascii="Arial" w:hAnsi="Arial"/>
          <w:b/>
          <w:color w:val="1F2D3D"/>
          <w:sz w:val="22"/>
        </w:rPr>
        <w:t>Balances &amp; Pèse-Palettes</w:t>
      </w:r>
    </w:p>
    <w:p>
      <w:pPr>
        <w:pStyle w:val="ListBullet"/>
        <w:spacing w:after="40" w:line="276" w:lineRule="auto"/>
      </w:pPr>
      <w:r>
        <w:t>Pèse-palette électronique de précision (capacité 2 tonnes, précision 500 g)</w:t>
      </w:r>
    </w:p>
    <w:p>
      <w:pPr>
        <w:keepNext/>
        <w:spacing w:before="280" w:after="80"/>
      </w:pPr>
      <w:r>
        <w:rPr>
          <w:rFonts w:ascii="Arial" w:hAnsi="Arial"/>
          <w:b/>
          <w:color w:val="B66A3F"/>
          <w:sz w:val="24"/>
        </w:rPr>
        <w:t>3.3 Plan de gestion Santé, Sécurité au Travail (SST) et Ergonomie</w:t>
      </w:r>
    </w:p>
    <w:p>
      <w:pPr>
        <w:spacing w:after="80" w:line="276" w:lineRule="auto"/>
      </w:pPr>
      <w:r>
        <w:t>Conformément à l'expertise apportée par M. Pedro S. KPONON, l'unité de Kétou intègre les meilleurs standards ergonomiques et préventifs :</w:t>
      </w:r>
    </w:p>
    <w:p>
      <w:pPr>
        <w:keepNext/>
        <w:spacing w:before="200" w:after="40"/>
      </w:pPr>
      <w:r>
        <w:rPr>
          <w:rFonts w:ascii="Arial" w:hAnsi="Arial"/>
          <w:b/>
          <w:color w:val="1F2D3D"/>
          <w:sz w:val="22"/>
        </w:rPr>
        <w:t>Réduction de la Pénibilité Physique</w:t>
      </w:r>
    </w:p>
    <w:p>
      <w:pPr>
        <w:pStyle w:val="ListBullet"/>
        <w:spacing w:after="40" w:line="276" w:lineRule="auto"/>
      </w:pPr>
      <w:r>
        <w:t>Tables de tri surélevées à hauteur réglable évitant les courbures lombaires.</w:t>
      </w:r>
    </w:p>
    <w:p>
      <w:pPr>
        <w:pStyle w:val="ListBullet"/>
        <w:spacing w:after="40" w:line="276" w:lineRule="auto"/>
      </w:pPr>
      <w:r>
        <w:t>Utilisation de transpalettes hydrauliques et gerbeurs pour supprimer le port manuel &gt; 25 kg.</w:t>
      </w:r>
    </w:p>
    <w:p>
      <w:pPr>
        <w:keepNext/>
        <w:spacing w:before="200" w:after="40"/>
      </w:pPr>
      <w:r>
        <w:rPr>
          <w:rFonts w:ascii="Arial" w:hAnsi="Arial"/>
          <w:b/>
          <w:color w:val="1F2D3D"/>
          <w:sz w:val="22"/>
        </w:rPr>
        <w:t>Protection Biologique, Auditive et Respiratoire</w:t>
      </w:r>
    </w:p>
    <w:p>
      <w:pPr>
        <w:pStyle w:val="ListBullet"/>
        <w:spacing w:after="40" w:line="276" w:lineRule="auto"/>
      </w:pPr>
      <w:r>
        <w:t>Port obligatoire des EPI : Masques FFP2, casques anti-bruit / bouchons moulés (&lt; 85 dB), gants anti-coupure et chaussures S3.</w:t>
      </w:r>
    </w:p>
    <w:p>
      <w:pPr>
        <w:keepNext/>
        <w:spacing w:before="200" w:after="40"/>
      </w:pPr>
      <w:r>
        <w:rPr>
          <w:rFonts w:ascii="Arial" w:hAnsi="Arial"/>
          <w:b/>
          <w:color w:val="1F2D3D"/>
          <w:sz w:val="22"/>
        </w:rPr>
        <w:t>Aspiration à la source</w:t>
      </w:r>
    </w:p>
    <w:p>
      <w:pPr>
        <w:pStyle w:val="ListBullet"/>
        <w:spacing w:after="40" w:line="276" w:lineRule="auto"/>
      </w:pPr>
      <w:r>
        <w:t>Aspiration centralisée des poussières légères au niveau de la sortie du broyeur.</w:t>
      </w:r>
    </w:p>
    <w:p>
      <w:pPr>
        <w:keepNext/>
        <w:spacing w:before="200" w:after="40"/>
      </w:pPr>
      <w:r>
        <w:rPr>
          <w:rFonts w:ascii="Arial" w:hAnsi="Arial"/>
          <w:b/>
          <w:color w:val="1F2D3D"/>
          <w:sz w:val="22"/>
        </w:rPr>
        <w:t>Programme de Santé Mentale et Suivi Ergonomique</w:t>
      </w:r>
    </w:p>
    <w:p>
      <w:pPr>
        <w:pStyle w:val="ListBullet"/>
        <w:spacing w:after="40" w:line="276" w:lineRule="auto"/>
      </w:pPr>
      <w:r>
        <w:t>Rotation systématique des postes toutes les 2 heures entre le tri, le lavage et l'emballage.</w:t>
      </w:r>
    </w:p>
    <w:p>
      <w:pPr>
        <w:pStyle w:val="ListBullet"/>
        <w:spacing w:after="40" w:line="276" w:lineRule="auto"/>
      </w:pPr>
      <w:r>
        <w:t>Entretiens individuels réguliers de suivi psychologique du travail et gestion du stress.</w:t>
      </w:r>
    </w:p>
    <w:p>
      <w:pPr>
        <w:keepNext/>
        <w:spacing w:before="360" w:after="120"/>
        <w:pBdr>
          <w:bottom w:val="single" w:sz="12" w:space="4" w:color="C99B5B"/>
        </w:pBdr>
      </w:pPr>
      <w:r>
        <w:rPr>
          <w:rFonts w:ascii="Arial" w:hAnsi="Arial"/>
          <w:b/>
          <w:color w:val="0E2C43"/>
          <w:sz w:val="28"/>
        </w:rPr>
        <w:t>4. PLAN D'EXÉCUTION &amp; CHRONOGRAMME DE DÉPLOIEMENT (12 SEMAINES)</w:t>
      </w:r>
    </w:p>
    <w:p>
      <w:pPr>
        <w:pStyle w:val="ListBullet"/>
        <w:spacing w:after="60" w:line="276" w:lineRule="auto"/>
      </w:pPr>
      <w:r>
        <w:rPr>
          <w:b/>
          <w:color w:val="0E2C43"/>
        </w:rPr>
        <w:t xml:space="preserve">Semaines 1 à 2 : </w:t>
      </w:r>
      <w:r>
        <w:t>Finalisation juridique, levée de fonds bancaires, signature du bail du site industriel de Kétou.</w:t>
      </w:r>
    </w:p>
    <w:p>
      <w:pPr>
        <w:pStyle w:val="ListBullet"/>
        <w:spacing w:after="60" w:line="276" w:lineRule="auto"/>
      </w:pPr>
      <w:r>
        <w:rPr>
          <w:b/>
          <w:color w:val="0E2C43"/>
        </w:rPr>
        <w:t xml:space="preserve">Semaines 3 à 4 : </w:t>
      </w:r>
      <w:r>
        <w:t>Aménagement du site (dalle béton, raccordement Sbee Triphasé, bassins de décantation water-recycling).</w:t>
      </w:r>
    </w:p>
    <w:p>
      <w:pPr>
        <w:pStyle w:val="ListBullet"/>
        <w:spacing w:after="60" w:line="276" w:lineRule="auto"/>
      </w:pPr>
      <w:r>
        <w:rPr>
          <w:b/>
          <w:color w:val="0E2C43"/>
        </w:rPr>
        <w:t xml:space="preserve">Semaines 5 à 6 : </w:t>
      </w:r>
      <w:r>
        <w:t>Commande, réception et installation de la ligne de broyage 15 HP et des équipements annexes.</w:t>
      </w:r>
    </w:p>
    <w:p>
      <w:pPr>
        <w:pStyle w:val="ListBullet"/>
        <w:spacing w:after="60" w:line="276" w:lineRule="auto"/>
      </w:pPr>
      <w:r>
        <w:rPr>
          <w:b/>
          <w:color w:val="0E2C43"/>
        </w:rPr>
        <w:t xml:space="preserve">Semaines 7 à 8 : </w:t>
      </w:r>
      <w:r>
        <w:t>Essais à vide, calibrage des lames, mise en place des protocoles SST et formation du personnel.</w:t>
      </w:r>
    </w:p>
    <w:p>
      <w:pPr>
        <w:pStyle w:val="ListBullet"/>
        <w:spacing w:after="60" w:line="276" w:lineRule="auto"/>
      </w:pPr>
      <w:r>
        <w:rPr>
          <w:b/>
          <w:color w:val="0E2C43"/>
        </w:rPr>
        <w:t xml:space="preserve">Semaines 9 à 10 : </w:t>
      </w:r>
      <w:r>
        <w:t>Lancement des campagnes d'achat de collecte de rodage (stock de sécurité de 20 tonnes de matière brute).</w:t>
      </w:r>
    </w:p>
    <w:p>
      <w:pPr>
        <w:pStyle w:val="ListBullet"/>
        <w:spacing w:after="60" w:line="276" w:lineRule="auto"/>
      </w:pPr>
      <w:r>
        <w:rPr>
          <w:b/>
          <w:color w:val="0E2C43"/>
        </w:rPr>
        <w:t xml:space="preserve">Semaines 11 à 12 : </w:t>
      </w:r>
      <w:r>
        <w:t>Lancement de la production continue, livraison des premiers lots B2B et montée en puissance vers la capacité nominale.</w:t>
      </w:r>
    </w:p>
    <w:p>
      <w:pPr>
        <w:keepNext/>
        <w:spacing w:before="360" w:after="120"/>
        <w:pBdr>
          <w:bottom w:val="single" w:sz="12" w:space="4" w:color="C99B5B"/>
        </w:pBdr>
      </w:pPr>
      <w:r>
        <w:rPr>
          <w:rFonts w:ascii="Arial" w:hAnsi="Arial"/>
          <w:b/>
          <w:color w:val="0E2C43"/>
          <w:sz w:val="28"/>
        </w:rPr>
        <w:t>5. MODÉLISATION FINANCIÈRE &amp; RENTABILITÉ</w:t>
      </w:r>
    </w:p>
    <w:p>
      <w:pPr>
        <w:spacing w:after="120" w:line="276" w:lineRule="auto"/>
      </w:pPr>
      <w:r>
        <w:t>(Tous les montants sont exprimés en Francs CFA - FCFA)</w:t>
      </w:r>
    </w:p>
    <w:p>
      <w:pPr>
        <w:keepNext/>
        <w:spacing w:before="280" w:after="80"/>
      </w:pPr>
      <w:r>
        <w:rPr>
          <w:rFonts w:ascii="Arial" w:hAnsi="Arial"/>
          <w:b/>
          <w:color w:val="B66A3F"/>
          <w:sz w:val="24"/>
        </w:rPr>
        <w:t>5.1 Hypothèses de calcul et paramètres économiques</w:t>
      </w:r>
    </w:p>
    <w:p>
      <w:pPr>
        <w:pStyle w:val="ListBullet"/>
        <w:spacing w:after="40" w:line="276" w:lineRule="auto"/>
      </w:pPr>
      <w:r>
        <w:rPr>
          <w:b/>
        </w:rPr>
        <w:t xml:space="preserve">Capacité de traitement nominale : </w:t>
      </w:r>
      <w:r>
        <w:t>300 kg / heure</w:t>
      </w:r>
    </w:p>
    <w:p>
      <w:pPr>
        <w:pStyle w:val="ListBullet"/>
        <w:spacing w:after="40" w:line="276" w:lineRule="auto"/>
      </w:pPr>
      <w:r>
        <w:rPr>
          <w:b/>
        </w:rPr>
        <w:t xml:space="preserve">Temps de travail : </w:t>
      </w:r>
      <w:r>
        <w:t>8 heures / jour, 22 jours / mois (176 heures / mois)</w:t>
      </w:r>
    </w:p>
    <w:p>
      <w:pPr>
        <w:pStyle w:val="ListBullet"/>
        <w:spacing w:after="40" w:line="276" w:lineRule="auto"/>
      </w:pPr>
      <w:r>
        <w:rPr>
          <w:b/>
        </w:rPr>
        <w:t xml:space="preserve">Volume mensuel traité : </w:t>
      </w:r>
      <w:r>
        <w:t>52,8 Tonnes de matière brute</w:t>
      </w:r>
    </w:p>
    <w:p>
      <w:pPr>
        <w:pStyle w:val="ListBullet"/>
        <w:spacing w:after="40" w:line="276" w:lineRule="auto"/>
      </w:pPr>
      <w:r>
        <w:rPr>
          <w:b/>
        </w:rPr>
        <w:t xml:space="preserve">Rendement de transformation : </w:t>
      </w:r>
      <w:r>
        <w:t>85 % (soit 45 Tonnes de broyat marchand / mois)</w:t>
      </w:r>
    </w:p>
    <w:p>
      <w:pPr>
        <w:pStyle w:val="ListBullet"/>
        <w:spacing w:after="40" w:line="276" w:lineRule="auto"/>
      </w:pPr>
      <w:r>
        <w:rPr>
          <w:b/>
        </w:rPr>
        <w:t xml:space="preserve">Prix moyen d'achat matière brute : </w:t>
      </w:r>
      <w:r>
        <w:t>100 FCFA / kg</w:t>
      </w:r>
    </w:p>
    <w:p>
      <w:pPr>
        <w:pStyle w:val="ListBullet"/>
        <w:spacing w:after="40" w:line="276" w:lineRule="auto"/>
      </w:pPr>
      <w:r>
        <w:rPr>
          <w:b/>
        </w:rPr>
        <w:t xml:space="preserve">Prix moyen de vente broyat PP/PEHD : </w:t>
      </w:r>
      <w:r>
        <w:t>450 FCFA / kg (soit 450 000 FCFA / Tonne)</w:t>
      </w:r>
    </w:p>
    <w:p>
      <w:pPr>
        <w:keepNext/>
        <w:spacing w:before="280" w:after="80"/>
      </w:pPr>
      <w:r>
        <w:rPr>
          <w:rFonts w:ascii="Arial" w:hAnsi="Arial"/>
          <w:b/>
          <w:color w:val="B66A3F"/>
          <w:sz w:val="24"/>
        </w:rPr>
        <w:t>5.2 Plan d'Investissement Initial (CAPEX)</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3010"/>
        <w:gridCol w:w="3010"/>
        <w:gridCol w:w="3010"/>
      </w:tblGrid>
      <w:tr>
        <w:tc>
          <w:tcPr>
            <w:tcW w:type="dxa" w:w="3010"/>
            <w:shd w:fill="0E2C43"/>
            <w:tcMar>
              <w:top w:w="140" w:type="dxa"/>
              <w:bottom w:w="140" w:type="dxa"/>
              <w:left w:w="160" w:type="dxa"/>
              <w:right w:w="160" w:type="dxa"/>
            </w:tcMar>
          </w:tcPr>
          <w:p>
            <w:pPr>
              <w:jc w:val="left"/>
            </w:pPr>
            <w:r>
              <w:rPr>
                <w:rFonts w:ascii="Arial" w:hAnsi="Arial"/>
                <w:b/>
                <w:color w:val="FFFFFF"/>
                <w:sz w:val="20"/>
              </w:rPr>
              <w:t>Poste d'Investissement</w:t>
            </w:r>
          </w:p>
        </w:tc>
        <w:tc>
          <w:tcPr>
            <w:tcW w:type="dxa" w:w="3010"/>
            <w:shd w:fill="0E2C43"/>
            <w:tcMar>
              <w:top w:w="140" w:type="dxa"/>
              <w:bottom w:w="140" w:type="dxa"/>
              <w:left w:w="160" w:type="dxa"/>
              <w:right w:w="160" w:type="dxa"/>
            </w:tcMar>
          </w:tcPr>
          <w:p>
            <w:pPr>
              <w:jc w:val="left"/>
            </w:pPr>
            <w:r>
              <w:rPr>
                <w:rFonts w:ascii="Arial" w:hAnsi="Arial"/>
                <w:b/>
                <w:color w:val="FFFFFF"/>
                <w:sz w:val="20"/>
              </w:rPr>
              <w:t>Description / Détails</w:t>
            </w:r>
          </w:p>
        </w:tc>
        <w:tc>
          <w:tcPr>
            <w:tcW w:type="dxa" w:w="3010"/>
            <w:shd w:fill="0E2C43"/>
            <w:tcMar>
              <w:top w:w="140" w:type="dxa"/>
              <w:bottom w:w="140" w:type="dxa"/>
              <w:left w:w="160" w:type="dxa"/>
              <w:right w:w="160" w:type="dxa"/>
            </w:tcMar>
          </w:tcPr>
          <w:p>
            <w:pPr>
              <w:jc w:val="right"/>
            </w:pPr>
            <w:r>
              <w:rPr>
                <w:rFonts w:ascii="Arial" w:hAnsi="Arial"/>
                <w:b/>
                <w:color w:val="FFFFFF"/>
                <w:sz w:val="20"/>
              </w:rPr>
              <w:t>Montant (FCFA)</w:t>
            </w:r>
          </w:p>
        </w:tc>
      </w:tr>
      <w:tr>
        <w:tc>
          <w:tcPr>
            <w:tcW w:type="dxa" w:w="3010"/>
            <w:shd w:fill="FFFFFF"/>
            <w:tcMar>
              <w:top w:w="120" w:type="dxa"/>
              <w:bottom w:w="120" w:type="dxa"/>
              <w:left w:w="160" w:type="dxa"/>
              <w:right w:w="160" w:type="dxa"/>
            </w:tcMar>
          </w:tcPr>
          <w:p>
            <w:pPr>
              <w:jc w:val="left"/>
            </w:pPr>
            <w:r>
              <w:rPr>
                <w:rFonts w:ascii="Calibri" w:hAnsi="Calibri"/>
                <w:b/>
                <w:sz w:val="20"/>
              </w:rPr>
              <w:t>Aménagements du site &amp; Génie Civil</w:t>
            </w:r>
          </w:p>
        </w:tc>
        <w:tc>
          <w:tcPr>
            <w:tcW w:type="dxa" w:w="3010"/>
            <w:shd w:fill="FFFFFF"/>
            <w:tcMar>
              <w:top w:w="120" w:type="dxa"/>
              <w:bottom w:w="120" w:type="dxa"/>
              <w:left w:w="160" w:type="dxa"/>
              <w:right w:w="160" w:type="dxa"/>
            </w:tcMar>
          </w:tcPr>
          <w:p>
            <w:pPr>
              <w:jc w:val="left"/>
            </w:pPr>
            <w:r>
              <w:rPr>
                <w:rFonts w:ascii="Calibri" w:hAnsi="Calibri"/>
                <w:sz w:val="20"/>
              </w:rPr>
              <w:t>Dalle technique, bassins de lavage, bureau</w:t>
            </w:r>
          </w:p>
        </w:tc>
        <w:tc>
          <w:tcPr>
            <w:tcW w:type="dxa" w:w="3010"/>
            <w:shd w:fill="FFFFFF"/>
            <w:tcMar>
              <w:top w:w="120" w:type="dxa"/>
              <w:bottom w:w="120" w:type="dxa"/>
              <w:left w:w="160" w:type="dxa"/>
              <w:right w:w="160" w:type="dxa"/>
            </w:tcMar>
          </w:tcPr>
          <w:p>
            <w:pPr>
              <w:jc w:val="right"/>
            </w:pPr>
            <w:r>
              <w:rPr>
                <w:rFonts w:ascii="Calibri" w:hAnsi="Calibri"/>
                <w:sz w:val="20"/>
              </w:rPr>
              <w:t>4 500 000</w:t>
            </w:r>
          </w:p>
        </w:tc>
      </w:tr>
      <w:tr>
        <w:tc>
          <w:tcPr>
            <w:tcW w:type="dxa" w:w="3010"/>
            <w:shd w:fill="F9FAFC"/>
            <w:tcMar>
              <w:top w:w="120" w:type="dxa"/>
              <w:bottom w:w="120" w:type="dxa"/>
              <w:left w:w="160" w:type="dxa"/>
              <w:right w:w="160" w:type="dxa"/>
            </w:tcMar>
          </w:tcPr>
          <w:p>
            <w:pPr>
              <w:jc w:val="left"/>
            </w:pPr>
            <w:r>
              <w:rPr>
                <w:rFonts w:ascii="Calibri" w:hAnsi="Calibri"/>
                <w:b/>
                <w:sz w:val="20"/>
              </w:rPr>
              <w:t>Ligne de Broyage Industrielle 15 HP</w:t>
            </w:r>
          </w:p>
        </w:tc>
        <w:tc>
          <w:tcPr>
            <w:tcW w:type="dxa" w:w="3010"/>
            <w:shd w:fill="F9FAFC"/>
            <w:tcMar>
              <w:top w:w="120" w:type="dxa"/>
              <w:bottom w:w="120" w:type="dxa"/>
              <w:left w:w="160" w:type="dxa"/>
              <w:right w:w="160" w:type="dxa"/>
            </w:tcMar>
          </w:tcPr>
          <w:p>
            <w:pPr>
              <w:jc w:val="left"/>
            </w:pPr>
            <w:r>
              <w:rPr>
                <w:rFonts w:ascii="Calibri" w:hAnsi="Calibri"/>
                <w:sz w:val="20"/>
              </w:rPr>
              <w:t>Broyeur, jeux de lames, tableau électrique</w:t>
            </w:r>
          </w:p>
        </w:tc>
        <w:tc>
          <w:tcPr>
            <w:tcW w:type="dxa" w:w="3010"/>
            <w:shd w:fill="F9FAFC"/>
            <w:tcMar>
              <w:top w:w="120" w:type="dxa"/>
              <w:bottom w:w="120" w:type="dxa"/>
              <w:left w:w="160" w:type="dxa"/>
              <w:right w:w="160" w:type="dxa"/>
            </w:tcMar>
          </w:tcPr>
          <w:p>
            <w:pPr>
              <w:jc w:val="right"/>
            </w:pPr>
            <w:r>
              <w:rPr>
                <w:rFonts w:ascii="Calibri" w:hAnsi="Calibri"/>
                <w:sz w:val="20"/>
              </w:rPr>
              <w:t>7 800 000</w:t>
            </w:r>
          </w:p>
        </w:tc>
      </w:tr>
      <w:tr>
        <w:tc>
          <w:tcPr>
            <w:tcW w:type="dxa" w:w="3010"/>
            <w:shd w:fill="FFFFFF"/>
            <w:tcMar>
              <w:top w:w="120" w:type="dxa"/>
              <w:bottom w:w="120" w:type="dxa"/>
              <w:left w:w="160" w:type="dxa"/>
              <w:right w:w="160" w:type="dxa"/>
            </w:tcMar>
          </w:tcPr>
          <w:p>
            <w:pPr>
              <w:jc w:val="left"/>
            </w:pPr>
            <w:r>
              <w:rPr>
                <w:rFonts w:ascii="Calibri" w:hAnsi="Calibri"/>
                <w:b/>
                <w:sz w:val="20"/>
              </w:rPr>
              <w:t>Équipements de Lavage &amp; Séchage</w:t>
            </w:r>
          </w:p>
        </w:tc>
        <w:tc>
          <w:tcPr>
            <w:tcW w:type="dxa" w:w="3010"/>
            <w:shd w:fill="FFFFFF"/>
            <w:tcMar>
              <w:top w:w="120" w:type="dxa"/>
              <w:bottom w:w="120" w:type="dxa"/>
              <w:left w:w="160" w:type="dxa"/>
              <w:right w:w="160" w:type="dxa"/>
            </w:tcMar>
          </w:tcPr>
          <w:p>
            <w:pPr>
              <w:jc w:val="left"/>
            </w:pPr>
            <w:r>
              <w:rPr>
                <w:rFonts w:ascii="Calibri" w:hAnsi="Calibri"/>
                <w:sz w:val="20"/>
              </w:rPr>
              <w:t>Bacs inox, pompes, centrifugeuse, serre solaire</w:t>
            </w:r>
          </w:p>
        </w:tc>
        <w:tc>
          <w:tcPr>
            <w:tcW w:type="dxa" w:w="3010"/>
            <w:shd w:fill="FFFFFF"/>
            <w:tcMar>
              <w:top w:w="120" w:type="dxa"/>
              <w:bottom w:w="120" w:type="dxa"/>
              <w:left w:w="160" w:type="dxa"/>
              <w:right w:w="160" w:type="dxa"/>
            </w:tcMar>
          </w:tcPr>
          <w:p>
            <w:pPr>
              <w:jc w:val="right"/>
            </w:pPr>
            <w:r>
              <w:rPr>
                <w:rFonts w:ascii="Calibri" w:hAnsi="Calibri"/>
                <w:sz w:val="20"/>
              </w:rPr>
              <w:t>3 200 000</w:t>
            </w:r>
          </w:p>
        </w:tc>
      </w:tr>
      <w:tr>
        <w:tc>
          <w:tcPr>
            <w:tcW w:type="dxa" w:w="3010"/>
            <w:shd w:fill="F9FAFC"/>
            <w:tcMar>
              <w:top w:w="120" w:type="dxa"/>
              <w:bottom w:w="120" w:type="dxa"/>
              <w:left w:w="160" w:type="dxa"/>
              <w:right w:w="160" w:type="dxa"/>
            </w:tcMar>
          </w:tcPr>
          <w:p>
            <w:pPr>
              <w:jc w:val="left"/>
            </w:pPr>
            <w:r>
              <w:rPr>
                <w:rFonts w:ascii="Calibri" w:hAnsi="Calibri"/>
                <w:b/>
                <w:sz w:val="20"/>
              </w:rPr>
              <w:t>Matériel Logistique &amp; Manutention</w:t>
            </w:r>
          </w:p>
        </w:tc>
        <w:tc>
          <w:tcPr>
            <w:tcW w:type="dxa" w:w="3010"/>
            <w:shd w:fill="F9FAFC"/>
            <w:tcMar>
              <w:top w:w="120" w:type="dxa"/>
              <w:bottom w:w="120" w:type="dxa"/>
              <w:left w:w="160" w:type="dxa"/>
              <w:right w:w="160" w:type="dxa"/>
            </w:tcMar>
          </w:tcPr>
          <w:p>
            <w:pPr>
              <w:jc w:val="left"/>
            </w:pPr>
            <w:r>
              <w:rPr>
                <w:rFonts w:ascii="Calibri" w:hAnsi="Calibri"/>
                <w:sz w:val="20"/>
              </w:rPr>
              <w:t>Gerbeur, transpalettes, pèse-palettes, Big Bags</w:t>
            </w:r>
          </w:p>
        </w:tc>
        <w:tc>
          <w:tcPr>
            <w:tcW w:type="dxa" w:w="3010"/>
            <w:shd w:fill="F9FAFC"/>
            <w:tcMar>
              <w:top w:w="120" w:type="dxa"/>
              <w:bottom w:w="120" w:type="dxa"/>
              <w:left w:w="160" w:type="dxa"/>
              <w:right w:w="160" w:type="dxa"/>
            </w:tcMar>
          </w:tcPr>
          <w:p>
            <w:pPr>
              <w:jc w:val="right"/>
            </w:pPr>
            <w:r>
              <w:rPr>
                <w:rFonts w:ascii="Calibri" w:hAnsi="Calibri"/>
                <w:sz w:val="20"/>
              </w:rPr>
              <w:t>2 500 000</w:t>
            </w:r>
          </w:p>
        </w:tc>
      </w:tr>
      <w:tr>
        <w:tc>
          <w:tcPr>
            <w:tcW w:type="dxa" w:w="3010"/>
            <w:shd w:fill="FFFFFF"/>
            <w:tcMar>
              <w:top w:w="120" w:type="dxa"/>
              <w:bottom w:w="120" w:type="dxa"/>
              <w:left w:w="160" w:type="dxa"/>
              <w:right w:w="160" w:type="dxa"/>
            </w:tcMar>
          </w:tcPr>
          <w:p>
            <w:pPr>
              <w:jc w:val="left"/>
            </w:pPr>
            <w:r>
              <w:rPr>
                <w:rFonts w:ascii="Calibri" w:hAnsi="Calibri"/>
                <w:b/>
                <w:sz w:val="20"/>
              </w:rPr>
              <w:t>Installation Électrique &amp; Groupe Sécurité</w:t>
            </w:r>
          </w:p>
        </w:tc>
        <w:tc>
          <w:tcPr>
            <w:tcW w:type="dxa" w:w="3010"/>
            <w:shd w:fill="FFFFFF"/>
            <w:tcMar>
              <w:top w:w="120" w:type="dxa"/>
              <w:bottom w:w="120" w:type="dxa"/>
              <w:left w:w="160" w:type="dxa"/>
              <w:right w:w="160" w:type="dxa"/>
            </w:tcMar>
          </w:tcPr>
          <w:p>
            <w:pPr>
              <w:jc w:val="left"/>
            </w:pPr>
            <w:r>
              <w:rPr>
                <w:rFonts w:ascii="Calibri" w:hAnsi="Calibri"/>
                <w:sz w:val="20"/>
              </w:rPr>
              <w:t>Câblage triphasé, armoire, groupe 20 kVA</w:t>
            </w:r>
          </w:p>
        </w:tc>
        <w:tc>
          <w:tcPr>
            <w:tcW w:type="dxa" w:w="3010"/>
            <w:shd w:fill="FFFFFF"/>
            <w:tcMar>
              <w:top w:w="120" w:type="dxa"/>
              <w:bottom w:w="120" w:type="dxa"/>
              <w:left w:w="160" w:type="dxa"/>
              <w:right w:w="160" w:type="dxa"/>
            </w:tcMar>
          </w:tcPr>
          <w:p>
            <w:pPr>
              <w:jc w:val="right"/>
            </w:pPr>
            <w:r>
              <w:rPr>
                <w:rFonts w:ascii="Calibri" w:hAnsi="Calibri"/>
                <w:sz w:val="20"/>
              </w:rPr>
              <w:t>3 500 000</w:t>
            </w:r>
          </w:p>
        </w:tc>
      </w:tr>
      <w:tr>
        <w:tc>
          <w:tcPr>
            <w:tcW w:type="dxa" w:w="3010"/>
            <w:shd w:fill="F9FAFC"/>
            <w:tcMar>
              <w:top w:w="120" w:type="dxa"/>
              <w:bottom w:w="120" w:type="dxa"/>
              <w:left w:w="160" w:type="dxa"/>
              <w:right w:w="160" w:type="dxa"/>
            </w:tcMar>
          </w:tcPr>
          <w:p>
            <w:pPr>
              <w:jc w:val="left"/>
            </w:pPr>
            <w:r>
              <w:rPr>
                <w:rFonts w:ascii="Calibri" w:hAnsi="Calibri"/>
                <w:b/>
                <w:sz w:val="20"/>
              </w:rPr>
              <w:t>Frais d'Établissement &amp; Licences</w:t>
            </w:r>
          </w:p>
        </w:tc>
        <w:tc>
          <w:tcPr>
            <w:tcW w:type="dxa" w:w="3010"/>
            <w:shd w:fill="F9FAFC"/>
            <w:tcMar>
              <w:top w:w="120" w:type="dxa"/>
              <w:bottom w:w="120" w:type="dxa"/>
              <w:left w:w="160" w:type="dxa"/>
              <w:right w:w="160" w:type="dxa"/>
            </w:tcMar>
          </w:tcPr>
          <w:p>
            <w:pPr>
              <w:jc w:val="left"/>
            </w:pPr>
            <w:r>
              <w:rPr>
                <w:rFonts w:ascii="Calibri" w:hAnsi="Calibri"/>
                <w:sz w:val="20"/>
              </w:rPr>
              <w:t>Immatriculation, étude d'impact, conformité SST</w:t>
            </w:r>
          </w:p>
        </w:tc>
        <w:tc>
          <w:tcPr>
            <w:tcW w:type="dxa" w:w="3010"/>
            <w:shd w:fill="F9FAFC"/>
            <w:tcMar>
              <w:top w:w="120" w:type="dxa"/>
              <w:bottom w:w="120" w:type="dxa"/>
              <w:left w:w="160" w:type="dxa"/>
              <w:right w:w="160" w:type="dxa"/>
            </w:tcMar>
          </w:tcPr>
          <w:p>
            <w:pPr>
              <w:jc w:val="right"/>
            </w:pPr>
            <w:r>
              <w:rPr>
                <w:rFonts w:ascii="Calibri" w:hAnsi="Calibri"/>
                <w:sz w:val="20"/>
              </w:rPr>
              <w:t>1 500 000</w:t>
            </w:r>
          </w:p>
        </w:tc>
      </w:tr>
      <w:tr>
        <w:tc>
          <w:tcPr>
            <w:tcW w:type="dxa" w:w="3010"/>
            <w:shd w:fill="FFFFFF"/>
            <w:tcMar>
              <w:top w:w="120" w:type="dxa"/>
              <w:bottom w:w="120" w:type="dxa"/>
              <w:left w:w="160" w:type="dxa"/>
              <w:right w:w="160" w:type="dxa"/>
            </w:tcMar>
          </w:tcPr>
          <w:p>
            <w:pPr>
              <w:jc w:val="left"/>
            </w:pPr>
            <w:r>
              <w:rPr>
                <w:rFonts w:ascii="Calibri" w:hAnsi="Calibri"/>
                <w:b/>
                <w:sz w:val="20"/>
              </w:rPr>
              <w:t>Fonds de Roulement Initial (BFR)</w:t>
            </w:r>
          </w:p>
        </w:tc>
        <w:tc>
          <w:tcPr>
            <w:tcW w:type="dxa" w:w="3010"/>
            <w:shd w:fill="FFFFFF"/>
            <w:tcMar>
              <w:top w:w="120" w:type="dxa"/>
              <w:bottom w:w="120" w:type="dxa"/>
              <w:left w:w="160" w:type="dxa"/>
              <w:right w:w="160" w:type="dxa"/>
            </w:tcMar>
          </w:tcPr>
          <w:p>
            <w:pPr>
              <w:jc w:val="left"/>
            </w:pPr>
            <w:r>
              <w:rPr>
                <w:rFonts w:ascii="Calibri" w:hAnsi="Calibri"/>
                <w:sz w:val="20"/>
              </w:rPr>
              <w:t>Stock matière brute (1 mois) + trésorerie</w:t>
            </w:r>
          </w:p>
        </w:tc>
        <w:tc>
          <w:tcPr>
            <w:tcW w:type="dxa" w:w="3010"/>
            <w:shd w:fill="FFFFFF"/>
            <w:tcMar>
              <w:top w:w="120" w:type="dxa"/>
              <w:bottom w:w="120" w:type="dxa"/>
              <w:left w:w="160" w:type="dxa"/>
              <w:right w:w="160" w:type="dxa"/>
            </w:tcMar>
          </w:tcPr>
          <w:p>
            <w:pPr>
              <w:jc w:val="right"/>
            </w:pPr>
            <w:r>
              <w:rPr>
                <w:rFonts w:ascii="Calibri" w:hAnsi="Calibri"/>
                <w:sz w:val="20"/>
              </w:rPr>
              <w:t>5 000 000</w:t>
            </w:r>
          </w:p>
        </w:tc>
      </w:tr>
      <w:tr>
        <w:tc>
          <w:tcPr>
            <w:tcW w:type="dxa" w:w="3010"/>
            <w:shd w:fill="EAEFF5"/>
            <w:tcMar>
              <w:top w:w="120" w:type="dxa"/>
              <w:bottom w:w="120" w:type="dxa"/>
              <w:left w:w="160" w:type="dxa"/>
              <w:right w:w="160" w:type="dxa"/>
            </w:tcMar>
          </w:tcPr>
          <w:p>
            <w:pPr>
              <w:jc w:val="left"/>
            </w:pPr>
            <w:r>
              <w:rPr>
                <w:rFonts w:ascii="Calibri" w:hAnsi="Calibri"/>
                <w:b/>
                <w:color w:val="0E2C43"/>
                <w:sz w:val="20"/>
              </w:rPr>
              <w:t>TOTAL CAPEX REQUIS</w:t>
            </w:r>
          </w:p>
        </w:tc>
        <w:tc>
          <w:tcPr>
            <w:tcW w:type="dxa" w:w="3010"/>
            <w:shd w:fill="EAEFF5"/>
            <w:tcMar>
              <w:top w:w="120" w:type="dxa"/>
              <w:bottom w:w="120" w:type="dxa"/>
              <w:left w:w="160" w:type="dxa"/>
              <w:right w:w="160" w:type="dxa"/>
            </w:tcMar>
          </w:tcPr>
          <w:p>
            <w:pPr>
              <w:jc w:val="left"/>
            </w:pPr>
            <w:r>
              <w:rPr>
                <w:rFonts w:ascii="Calibri" w:hAnsi="Calibri"/>
                <w:b/>
                <w:color w:val="0E2C43"/>
                <w:sz w:val="20"/>
              </w:rPr>
              <w:t>Investissement Total Démarrage</w:t>
            </w:r>
          </w:p>
        </w:tc>
        <w:tc>
          <w:tcPr>
            <w:tcW w:type="dxa" w:w="3010"/>
            <w:shd w:fill="EAEFF5"/>
            <w:tcMar>
              <w:top w:w="120" w:type="dxa"/>
              <w:bottom w:w="120" w:type="dxa"/>
              <w:left w:w="160" w:type="dxa"/>
              <w:right w:w="160" w:type="dxa"/>
            </w:tcMar>
          </w:tcPr>
          <w:p>
            <w:pPr>
              <w:jc w:val="right"/>
            </w:pPr>
            <w:r>
              <w:rPr>
                <w:rFonts w:ascii="Calibri" w:hAnsi="Calibri"/>
                <w:b/>
                <w:color w:val="0E2C43"/>
                <w:sz w:val="20"/>
              </w:rPr>
              <w:t>28 000 000</w:t>
            </w:r>
          </w:p>
        </w:tc>
      </w:tr>
    </w:tbl>
    <w:p>
      <w:pPr>
        <w:spacing w:after="160"/>
      </w:pPr>
    </w:p>
    <w:p>
      <w:pPr>
        <w:keepNext/>
        <w:spacing w:before="280" w:after="80"/>
      </w:pPr>
      <w:r>
        <w:rPr>
          <w:rFonts w:ascii="Arial" w:hAnsi="Arial"/>
          <w:b/>
          <w:color w:val="B66A3F"/>
          <w:sz w:val="24"/>
        </w:rPr>
        <w:t>5.3 Modélisation des Charges d'Exploitation Mensuelles (OPEX)</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3010"/>
        <w:gridCol w:w="3010"/>
        <w:gridCol w:w="3010"/>
      </w:tblGrid>
      <w:tr>
        <w:tc>
          <w:tcPr>
            <w:tcW w:type="dxa" w:w="3010"/>
            <w:shd w:fill="0E2C43"/>
            <w:tcMar>
              <w:top w:w="140" w:type="dxa"/>
              <w:bottom w:w="140" w:type="dxa"/>
              <w:left w:w="160" w:type="dxa"/>
              <w:right w:w="160" w:type="dxa"/>
            </w:tcMar>
          </w:tcPr>
          <w:p>
            <w:pPr>
              <w:jc w:val="left"/>
            </w:pPr>
            <w:r>
              <w:rPr>
                <w:rFonts w:ascii="Arial" w:hAnsi="Arial"/>
                <w:b/>
                <w:color w:val="FFFFFF"/>
                <w:sz w:val="20"/>
              </w:rPr>
              <w:t>Poste de Dépense OPEX</w:t>
            </w:r>
          </w:p>
        </w:tc>
        <w:tc>
          <w:tcPr>
            <w:tcW w:type="dxa" w:w="3010"/>
            <w:shd w:fill="0E2C43"/>
            <w:tcMar>
              <w:top w:w="140" w:type="dxa"/>
              <w:bottom w:w="140" w:type="dxa"/>
              <w:left w:w="160" w:type="dxa"/>
              <w:right w:w="160" w:type="dxa"/>
            </w:tcMar>
          </w:tcPr>
          <w:p>
            <w:pPr>
              <w:jc w:val="left"/>
            </w:pPr>
            <w:r>
              <w:rPr>
                <w:rFonts w:ascii="Arial" w:hAnsi="Arial"/>
                <w:b/>
                <w:color w:val="FFFFFF"/>
                <w:sz w:val="20"/>
              </w:rPr>
              <w:t>Base de Calcul Mensuelle</w:t>
            </w:r>
          </w:p>
        </w:tc>
        <w:tc>
          <w:tcPr>
            <w:tcW w:type="dxa" w:w="3010"/>
            <w:shd w:fill="0E2C43"/>
            <w:tcMar>
              <w:top w:w="140" w:type="dxa"/>
              <w:bottom w:w="140" w:type="dxa"/>
              <w:left w:w="160" w:type="dxa"/>
              <w:right w:w="160" w:type="dxa"/>
            </w:tcMar>
          </w:tcPr>
          <w:p>
            <w:pPr>
              <w:jc w:val="right"/>
            </w:pPr>
            <w:r>
              <w:rPr>
                <w:rFonts w:ascii="Arial" w:hAnsi="Arial"/>
                <w:b/>
                <w:color w:val="FFFFFF"/>
                <w:sz w:val="20"/>
              </w:rPr>
              <w:t>Montant Mensuel (FCFA)</w:t>
            </w:r>
          </w:p>
        </w:tc>
      </w:tr>
      <w:tr>
        <w:tc>
          <w:tcPr>
            <w:tcW w:type="dxa" w:w="3010"/>
            <w:shd w:fill="FFFFFF"/>
            <w:tcMar>
              <w:top w:w="120" w:type="dxa"/>
              <w:bottom w:w="120" w:type="dxa"/>
              <w:left w:w="160" w:type="dxa"/>
              <w:right w:w="160" w:type="dxa"/>
            </w:tcMar>
          </w:tcPr>
          <w:p>
            <w:pPr>
              <w:jc w:val="left"/>
            </w:pPr>
            <w:r>
              <w:rPr>
                <w:rFonts w:ascii="Calibri" w:hAnsi="Calibri"/>
                <w:b/>
                <w:sz w:val="20"/>
              </w:rPr>
              <w:t>Achat Matière Première Brute</w:t>
            </w:r>
          </w:p>
        </w:tc>
        <w:tc>
          <w:tcPr>
            <w:tcW w:type="dxa" w:w="3010"/>
            <w:shd w:fill="FFFFFF"/>
            <w:tcMar>
              <w:top w:w="120" w:type="dxa"/>
              <w:bottom w:w="120" w:type="dxa"/>
              <w:left w:w="160" w:type="dxa"/>
              <w:right w:w="160" w:type="dxa"/>
            </w:tcMar>
          </w:tcPr>
          <w:p>
            <w:pPr>
              <w:jc w:val="left"/>
            </w:pPr>
            <w:r>
              <w:rPr>
                <w:rFonts w:ascii="Calibri" w:hAnsi="Calibri"/>
                <w:sz w:val="20"/>
              </w:rPr>
              <w:t>52,8 Tonnes x 100 FCFA/kg</w:t>
            </w:r>
          </w:p>
        </w:tc>
        <w:tc>
          <w:tcPr>
            <w:tcW w:type="dxa" w:w="3010"/>
            <w:shd w:fill="FFFFFF"/>
            <w:tcMar>
              <w:top w:w="120" w:type="dxa"/>
              <w:bottom w:w="120" w:type="dxa"/>
              <w:left w:w="160" w:type="dxa"/>
              <w:right w:w="160" w:type="dxa"/>
            </w:tcMar>
          </w:tcPr>
          <w:p>
            <w:pPr>
              <w:jc w:val="right"/>
            </w:pPr>
            <w:r>
              <w:rPr>
                <w:rFonts w:ascii="Calibri" w:hAnsi="Calibri"/>
                <w:sz w:val="20"/>
              </w:rPr>
              <w:t>5 280 000</w:t>
            </w:r>
          </w:p>
        </w:tc>
      </w:tr>
      <w:tr>
        <w:tc>
          <w:tcPr>
            <w:tcW w:type="dxa" w:w="3010"/>
            <w:shd w:fill="F9FAFC"/>
            <w:tcMar>
              <w:top w:w="120" w:type="dxa"/>
              <w:bottom w:w="120" w:type="dxa"/>
              <w:left w:w="160" w:type="dxa"/>
              <w:right w:w="160" w:type="dxa"/>
            </w:tcMar>
          </w:tcPr>
          <w:p>
            <w:pPr>
              <w:jc w:val="left"/>
            </w:pPr>
            <w:r>
              <w:rPr>
                <w:rFonts w:ascii="Calibri" w:hAnsi="Calibri"/>
                <w:b/>
                <w:sz w:val="20"/>
              </w:rPr>
              <w:t>Consommation Énergie &amp; Eau</w:t>
            </w:r>
          </w:p>
        </w:tc>
        <w:tc>
          <w:tcPr>
            <w:tcW w:type="dxa" w:w="3010"/>
            <w:shd w:fill="F9FAFC"/>
            <w:tcMar>
              <w:top w:w="120" w:type="dxa"/>
              <w:bottom w:w="120" w:type="dxa"/>
              <w:left w:w="160" w:type="dxa"/>
              <w:right w:w="160" w:type="dxa"/>
            </w:tcMar>
          </w:tcPr>
          <w:p>
            <w:pPr>
              <w:jc w:val="left"/>
            </w:pPr>
            <w:r>
              <w:rPr>
                <w:rFonts w:ascii="Calibri" w:hAnsi="Calibri"/>
                <w:sz w:val="20"/>
              </w:rPr>
              <w:t>Sbee triphasé + carburant groupe secours</w:t>
            </w:r>
          </w:p>
        </w:tc>
        <w:tc>
          <w:tcPr>
            <w:tcW w:type="dxa" w:w="3010"/>
            <w:shd w:fill="F9FAFC"/>
            <w:tcMar>
              <w:top w:w="120" w:type="dxa"/>
              <w:bottom w:w="120" w:type="dxa"/>
              <w:left w:w="160" w:type="dxa"/>
              <w:right w:w="160" w:type="dxa"/>
            </w:tcMar>
          </w:tcPr>
          <w:p>
            <w:pPr>
              <w:jc w:val="right"/>
            </w:pPr>
            <w:r>
              <w:rPr>
                <w:rFonts w:ascii="Calibri" w:hAnsi="Calibri"/>
                <w:sz w:val="20"/>
              </w:rPr>
              <w:t>750 000</w:t>
            </w:r>
          </w:p>
        </w:tc>
      </w:tr>
      <w:tr>
        <w:tc>
          <w:tcPr>
            <w:tcW w:type="dxa" w:w="3010"/>
            <w:shd w:fill="FFFFFF"/>
            <w:tcMar>
              <w:top w:w="120" w:type="dxa"/>
              <w:bottom w:w="120" w:type="dxa"/>
              <w:left w:w="160" w:type="dxa"/>
              <w:right w:w="160" w:type="dxa"/>
            </w:tcMar>
          </w:tcPr>
          <w:p>
            <w:pPr>
              <w:jc w:val="left"/>
            </w:pPr>
            <w:r>
              <w:rPr>
                <w:rFonts w:ascii="Calibri" w:hAnsi="Calibri"/>
                <w:b/>
                <w:sz w:val="20"/>
              </w:rPr>
              <w:t>Masse Salariale (10 Personnes)</w:t>
            </w:r>
          </w:p>
        </w:tc>
        <w:tc>
          <w:tcPr>
            <w:tcW w:type="dxa" w:w="3010"/>
            <w:shd w:fill="FFFFFF"/>
            <w:tcMar>
              <w:top w:w="120" w:type="dxa"/>
              <w:bottom w:w="120" w:type="dxa"/>
              <w:left w:w="160" w:type="dxa"/>
              <w:right w:w="160" w:type="dxa"/>
            </w:tcMar>
          </w:tcPr>
          <w:p>
            <w:pPr>
              <w:jc w:val="left"/>
            </w:pPr>
            <w:r>
              <w:rPr>
                <w:rFonts w:ascii="Calibri" w:hAnsi="Calibri"/>
                <w:sz w:val="20"/>
              </w:rPr>
              <w:t>DG, Gérant SST, 6 Opérateurs, 2 Chauffeurs</w:t>
            </w:r>
          </w:p>
        </w:tc>
        <w:tc>
          <w:tcPr>
            <w:tcW w:type="dxa" w:w="3010"/>
            <w:shd w:fill="FFFFFF"/>
            <w:tcMar>
              <w:top w:w="120" w:type="dxa"/>
              <w:bottom w:w="120" w:type="dxa"/>
              <w:left w:w="160" w:type="dxa"/>
              <w:right w:w="160" w:type="dxa"/>
            </w:tcMar>
          </w:tcPr>
          <w:p>
            <w:pPr>
              <w:jc w:val="right"/>
            </w:pPr>
            <w:r>
              <w:rPr>
                <w:rFonts w:ascii="Calibri" w:hAnsi="Calibri"/>
                <w:sz w:val="20"/>
              </w:rPr>
              <w:t>2 100 000</w:t>
            </w:r>
          </w:p>
        </w:tc>
      </w:tr>
      <w:tr>
        <w:tc>
          <w:tcPr>
            <w:tcW w:type="dxa" w:w="3010"/>
            <w:shd w:fill="F9FAFC"/>
            <w:tcMar>
              <w:top w:w="120" w:type="dxa"/>
              <w:bottom w:w="120" w:type="dxa"/>
              <w:left w:w="160" w:type="dxa"/>
              <w:right w:w="160" w:type="dxa"/>
            </w:tcMar>
          </w:tcPr>
          <w:p>
            <w:pPr>
              <w:jc w:val="left"/>
            </w:pPr>
            <w:r>
              <w:rPr>
                <w:rFonts w:ascii="Calibri" w:hAnsi="Calibri"/>
                <w:b/>
                <w:sz w:val="20"/>
              </w:rPr>
              <w:t>Transport &amp; Logistique de collecte</w:t>
            </w:r>
          </w:p>
        </w:tc>
        <w:tc>
          <w:tcPr>
            <w:tcW w:type="dxa" w:w="3010"/>
            <w:shd w:fill="F9FAFC"/>
            <w:tcMar>
              <w:top w:w="120" w:type="dxa"/>
              <w:bottom w:w="120" w:type="dxa"/>
              <w:left w:w="160" w:type="dxa"/>
              <w:right w:w="160" w:type="dxa"/>
            </w:tcMar>
          </w:tcPr>
          <w:p>
            <w:pPr>
              <w:jc w:val="left"/>
            </w:pPr>
            <w:r>
              <w:rPr>
                <w:rFonts w:ascii="Calibri" w:hAnsi="Calibri"/>
                <w:sz w:val="20"/>
              </w:rPr>
              <w:t>Carburant camions, frais d'approche</w:t>
            </w:r>
          </w:p>
        </w:tc>
        <w:tc>
          <w:tcPr>
            <w:tcW w:type="dxa" w:w="3010"/>
            <w:shd w:fill="F9FAFC"/>
            <w:tcMar>
              <w:top w:w="120" w:type="dxa"/>
              <w:bottom w:w="120" w:type="dxa"/>
              <w:left w:w="160" w:type="dxa"/>
              <w:right w:w="160" w:type="dxa"/>
            </w:tcMar>
          </w:tcPr>
          <w:p>
            <w:pPr>
              <w:jc w:val="right"/>
            </w:pPr>
            <w:r>
              <w:rPr>
                <w:rFonts w:ascii="Calibri" w:hAnsi="Calibri"/>
                <w:sz w:val="20"/>
              </w:rPr>
              <w:t>1 200 000</w:t>
            </w:r>
          </w:p>
        </w:tc>
      </w:tr>
      <w:tr>
        <w:tc>
          <w:tcPr>
            <w:tcW w:type="dxa" w:w="3010"/>
            <w:shd w:fill="FFFFFF"/>
            <w:tcMar>
              <w:top w:w="120" w:type="dxa"/>
              <w:bottom w:w="120" w:type="dxa"/>
              <w:left w:w="160" w:type="dxa"/>
              <w:right w:w="160" w:type="dxa"/>
            </w:tcMar>
          </w:tcPr>
          <w:p>
            <w:pPr>
              <w:jc w:val="left"/>
            </w:pPr>
            <w:r>
              <w:rPr>
                <w:rFonts w:ascii="Calibri" w:hAnsi="Calibri"/>
                <w:b/>
                <w:sz w:val="20"/>
              </w:rPr>
              <w:t>Maintenance Préventive &amp; Lames</w:t>
            </w:r>
          </w:p>
        </w:tc>
        <w:tc>
          <w:tcPr>
            <w:tcW w:type="dxa" w:w="3010"/>
            <w:shd w:fill="FFFFFF"/>
            <w:tcMar>
              <w:top w:w="120" w:type="dxa"/>
              <w:bottom w:w="120" w:type="dxa"/>
              <w:left w:w="160" w:type="dxa"/>
              <w:right w:w="160" w:type="dxa"/>
            </w:tcMar>
          </w:tcPr>
          <w:p>
            <w:pPr>
              <w:jc w:val="left"/>
            </w:pPr>
            <w:r>
              <w:rPr>
                <w:rFonts w:ascii="Calibri" w:hAnsi="Calibri"/>
                <w:sz w:val="20"/>
              </w:rPr>
              <w:t>Rechargement lames, vidanges, consommables</w:t>
            </w:r>
          </w:p>
        </w:tc>
        <w:tc>
          <w:tcPr>
            <w:tcW w:type="dxa" w:w="3010"/>
            <w:shd w:fill="FFFFFF"/>
            <w:tcMar>
              <w:top w:w="120" w:type="dxa"/>
              <w:bottom w:w="120" w:type="dxa"/>
              <w:left w:w="160" w:type="dxa"/>
              <w:right w:w="160" w:type="dxa"/>
            </w:tcMar>
          </w:tcPr>
          <w:p>
            <w:pPr>
              <w:jc w:val="right"/>
            </w:pPr>
            <w:r>
              <w:rPr>
                <w:rFonts w:ascii="Calibri" w:hAnsi="Calibri"/>
                <w:sz w:val="20"/>
              </w:rPr>
              <w:t>450 000</w:t>
            </w:r>
          </w:p>
        </w:tc>
      </w:tr>
      <w:tr>
        <w:tc>
          <w:tcPr>
            <w:tcW w:type="dxa" w:w="3010"/>
            <w:shd w:fill="F9FAFC"/>
            <w:tcMar>
              <w:top w:w="120" w:type="dxa"/>
              <w:bottom w:w="120" w:type="dxa"/>
              <w:left w:w="160" w:type="dxa"/>
              <w:right w:w="160" w:type="dxa"/>
            </w:tcMar>
          </w:tcPr>
          <w:p>
            <w:pPr>
              <w:jc w:val="left"/>
            </w:pPr>
            <w:r>
              <w:rPr>
                <w:rFonts w:ascii="Calibri" w:hAnsi="Calibri"/>
                <w:b/>
                <w:sz w:val="20"/>
              </w:rPr>
              <w:t>Frais Généraux &amp; Assurances</w:t>
            </w:r>
          </w:p>
        </w:tc>
        <w:tc>
          <w:tcPr>
            <w:tcW w:type="dxa" w:w="3010"/>
            <w:shd w:fill="F9FAFC"/>
            <w:tcMar>
              <w:top w:w="120" w:type="dxa"/>
              <w:bottom w:w="120" w:type="dxa"/>
              <w:left w:w="160" w:type="dxa"/>
              <w:right w:w="160" w:type="dxa"/>
            </w:tcMar>
          </w:tcPr>
          <w:p>
            <w:pPr>
              <w:jc w:val="left"/>
            </w:pPr>
            <w:r>
              <w:rPr>
                <w:rFonts w:ascii="Calibri" w:hAnsi="Calibri"/>
                <w:sz w:val="20"/>
              </w:rPr>
              <w:t>Loyer terrain Kétou, télécoms, comptabilité</w:t>
            </w:r>
          </w:p>
        </w:tc>
        <w:tc>
          <w:tcPr>
            <w:tcW w:type="dxa" w:w="3010"/>
            <w:shd w:fill="F9FAFC"/>
            <w:tcMar>
              <w:top w:w="120" w:type="dxa"/>
              <w:bottom w:w="120" w:type="dxa"/>
              <w:left w:w="160" w:type="dxa"/>
              <w:right w:w="160" w:type="dxa"/>
            </w:tcMar>
          </w:tcPr>
          <w:p>
            <w:pPr>
              <w:jc w:val="right"/>
            </w:pPr>
            <w:r>
              <w:rPr>
                <w:rFonts w:ascii="Calibri" w:hAnsi="Calibri"/>
                <w:sz w:val="20"/>
              </w:rPr>
              <w:t>500 000</w:t>
            </w:r>
          </w:p>
        </w:tc>
      </w:tr>
      <w:tr>
        <w:tc>
          <w:tcPr>
            <w:tcW w:type="dxa" w:w="3010"/>
            <w:shd w:fill="EAEFF5"/>
            <w:tcMar>
              <w:top w:w="120" w:type="dxa"/>
              <w:bottom w:w="120" w:type="dxa"/>
              <w:left w:w="160" w:type="dxa"/>
              <w:right w:w="160" w:type="dxa"/>
            </w:tcMar>
          </w:tcPr>
          <w:p>
            <w:pPr>
              <w:jc w:val="left"/>
            </w:pPr>
            <w:r>
              <w:rPr>
                <w:rFonts w:ascii="Calibri" w:hAnsi="Calibri"/>
                <w:b/>
                <w:color w:val="0E2C43"/>
                <w:sz w:val="20"/>
              </w:rPr>
              <w:t>TOTAL OPEX MENSUEL</w:t>
            </w:r>
          </w:p>
        </w:tc>
        <w:tc>
          <w:tcPr>
            <w:tcW w:type="dxa" w:w="3010"/>
            <w:shd w:fill="EAEFF5"/>
            <w:tcMar>
              <w:top w:w="120" w:type="dxa"/>
              <w:bottom w:w="120" w:type="dxa"/>
              <w:left w:w="160" w:type="dxa"/>
              <w:right w:w="160" w:type="dxa"/>
            </w:tcMar>
          </w:tcPr>
          <w:p>
            <w:pPr>
              <w:jc w:val="left"/>
            </w:pPr>
            <w:r>
              <w:rPr>
                <w:rFonts w:ascii="Calibri" w:hAnsi="Calibri"/>
                <w:b/>
                <w:color w:val="0E2C43"/>
                <w:sz w:val="20"/>
              </w:rPr>
              <w:t>Coût de Fonctionnement Mensuel</w:t>
            </w:r>
          </w:p>
        </w:tc>
        <w:tc>
          <w:tcPr>
            <w:tcW w:type="dxa" w:w="3010"/>
            <w:shd w:fill="EAEFF5"/>
            <w:tcMar>
              <w:top w:w="120" w:type="dxa"/>
              <w:bottom w:w="120" w:type="dxa"/>
              <w:left w:w="160" w:type="dxa"/>
              <w:right w:w="160" w:type="dxa"/>
            </w:tcMar>
          </w:tcPr>
          <w:p>
            <w:pPr>
              <w:jc w:val="right"/>
            </w:pPr>
            <w:r>
              <w:rPr>
                <w:rFonts w:ascii="Calibri" w:hAnsi="Calibri"/>
                <w:b/>
                <w:color w:val="0E2C43"/>
                <w:sz w:val="20"/>
              </w:rPr>
              <w:t>10 280 000</w:t>
            </w:r>
          </w:p>
        </w:tc>
      </w:tr>
    </w:tbl>
    <w:p>
      <w:pPr>
        <w:spacing w:after="160"/>
      </w:pPr>
    </w:p>
    <w:p>
      <w:pPr>
        <w:keepNext/>
        <w:spacing w:before="280" w:after="80"/>
      </w:pPr>
      <w:r>
        <w:rPr>
          <w:rFonts w:ascii="Arial" w:hAnsi="Arial"/>
          <w:b/>
          <w:color w:val="B66A3F"/>
          <w:sz w:val="24"/>
        </w:rPr>
        <w:t>5.4 Compte de Résultat Prévisionnel (Année 1)</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3010"/>
        <w:gridCol w:w="3010"/>
        <w:gridCol w:w="3010"/>
      </w:tblGrid>
      <w:tr>
        <w:tc>
          <w:tcPr>
            <w:tcW w:type="dxa" w:w="3010"/>
            <w:shd w:fill="0E2C43"/>
            <w:tcMar>
              <w:top w:w="140" w:type="dxa"/>
              <w:bottom w:w="140" w:type="dxa"/>
              <w:left w:w="160" w:type="dxa"/>
              <w:right w:w="160" w:type="dxa"/>
            </w:tcMar>
          </w:tcPr>
          <w:p>
            <w:pPr>
              <w:jc w:val="left"/>
            </w:pPr>
            <w:r>
              <w:rPr>
                <w:rFonts w:ascii="Arial" w:hAnsi="Arial"/>
                <w:b/>
                <w:color w:val="FFFFFF"/>
                <w:sz w:val="20"/>
              </w:rPr>
              <w:t>Poste du Compte de Résultat</w:t>
            </w:r>
          </w:p>
        </w:tc>
        <w:tc>
          <w:tcPr>
            <w:tcW w:type="dxa" w:w="3010"/>
            <w:shd w:fill="0E2C43"/>
            <w:tcMar>
              <w:top w:w="140" w:type="dxa"/>
              <w:bottom w:w="140" w:type="dxa"/>
              <w:left w:w="160" w:type="dxa"/>
              <w:right w:w="160" w:type="dxa"/>
            </w:tcMar>
          </w:tcPr>
          <w:p>
            <w:pPr>
              <w:jc w:val="left"/>
            </w:pPr>
            <w:r>
              <w:rPr>
                <w:rFonts w:ascii="Arial" w:hAnsi="Arial"/>
                <w:b/>
                <w:color w:val="FFFFFF"/>
                <w:sz w:val="20"/>
              </w:rPr>
              <w:t>Calcul Mensuel (FCFA)</w:t>
            </w:r>
          </w:p>
        </w:tc>
        <w:tc>
          <w:tcPr>
            <w:tcW w:type="dxa" w:w="3010"/>
            <w:shd w:fill="0E2C43"/>
            <w:tcMar>
              <w:top w:w="140" w:type="dxa"/>
              <w:bottom w:w="140" w:type="dxa"/>
              <w:left w:w="160" w:type="dxa"/>
              <w:right w:w="160" w:type="dxa"/>
            </w:tcMar>
          </w:tcPr>
          <w:p>
            <w:pPr>
              <w:jc w:val="right"/>
            </w:pPr>
            <w:r>
              <w:rPr>
                <w:rFonts w:ascii="Arial" w:hAnsi="Arial"/>
                <w:b/>
                <w:color w:val="FFFFFF"/>
                <w:sz w:val="20"/>
              </w:rPr>
              <w:t>Année 1 - 12 Mois (FCFA)</w:t>
            </w:r>
          </w:p>
        </w:tc>
      </w:tr>
      <w:tr>
        <w:tc>
          <w:tcPr>
            <w:tcW w:type="dxa" w:w="3010"/>
            <w:shd w:fill="FFFFFF"/>
            <w:tcMar>
              <w:top w:w="120" w:type="dxa"/>
              <w:bottom w:w="120" w:type="dxa"/>
              <w:left w:w="160" w:type="dxa"/>
              <w:right w:w="160" w:type="dxa"/>
            </w:tcMar>
          </w:tcPr>
          <w:p>
            <w:pPr>
              <w:jc w:val="left"/>
            </w:pPr>
            <w:r>
              <w:rPr>
                <w:rFonts w:ascii="Calibri" w:hAnsi="Calibri"/>
                <w:b/>
                <w:sz w:val="20"/>
              </w:rPr>
              <w:t>CHIFFRE D'AFFAIRES (CA)</w:t>
            </w:r>
          </w:p>
        </w:tc>
        <w:tc>
          <w:tcPr>
            <w:tcW w:type="dxa" w:w="3010"/>
            <w:shd w:fill="FFFFFF"/>
            <w:tcMar>
              <w:top w:w="120" w:type="dxa"/>
              <w:bottom w:w="120" w:type="dxa"/>
              <w:left w:w="160" w:type="dxa"/>
              <w:right w:w="160" w:type="dxa"/>
            </w:tcMar>
          </w:tcPr>
          <w:p>
            <w:pPr>
              <w:jc w:val="left"/>
            </w:pPr>
            <w:r>
              <w:rPr>
                <w:rFonts w:ascii="Calibri" w:hAnsi="Calibri"/>
                <w:sz w:val="20"/>
              </w:rPr>
              <w:t>45 T x 450 000 FCFA/T</w:t>
            </w:r>
          </w:p>
        </w:tc>
        <w:tc>
          <w:tcPr>
            <w:tcW w:type="dxa" w:w="3010"/>
            <w:shd w:fill="FFFFFF"/>
            <w:tcMar>
              <w:top w:w="120" w:type="dxa"/>
              <w:bottom w:w="120" w:type="dxa"/>
              <w:left w:w="160" w:type="dxa"/>
              <w:right w:w="160" w:type="dxa"/>
            </w:tcMar>
          </w:tcPr>
          <w:p>
            <w:pPr>
              <w:jc w:val="right"/>
            </w:pPr>
            <w:r>
              <w:rPr>
                <w:rFonts w:ascii="Calibri" w:hAnsi="Calibri"/>
                <w:sz w:val="20"/>
              </w:rPr>
              <w:t>243 000 000</w:t>
            </w:r>
          </w:p>
        </w:tc>
      </w:tr>
      <w:tr>
        <w:tc>
          <w:tcPr>
            <w:tcW w:type="dxa" w:w="3010"/>
            <w:shd w:fill="F9FAFC"/>
            <w:tcMar>
              <w:top w:w="120" w:type="dxa"/>
              <w:bottom w:w="120" w:type="dxa"/>
              <w:left w:w="160" w:type="dxa"/>
              <w:right w:w="160" w:type="dxa"/>
            </w:tcMar>
          </w:tcPr>
          <w:p>
            <w:pPr>
              <w:jc w:val="left"/>
            </w:pPr>
            <w:r>
              <w:rPr>
                <w:rFonts w:ascii="Calibri" w:hAnsi="Calibri"/>
                <w:b/>
                <w:sz w:val="20"/>
              </w:rPr>
              <w:t>Achats Matières Premières</w:t>
            </w:r>
          </w:p>
        </w:tc>
        <w:tc>
          <w:tcPr>
            <w:tcW w:type="dxa" w:w="3010"/>
            <w:shd w:fill="F9FAFC"/>
            <w:tcMar>
              <w:top w:w="120" w:type="dxa"/>
              <w:bottom w:w="120" w:type="dxa"/>
              <w:left w:w="160" w:type="dxa"/>
              <w:right w:w="160" w:type="dxa"/>
            </w:tcMar>
          </w:tcPr>
          <w:p>
            <w:pPr>
              <w:jc w:val="left"/>
            </w:pPr>
            <w:r>
              <w:rPr>
                <w:rFonts w:ascii="Calibri" w:hAnsi="Calibri"/>
                <w:sz w:val="20"/>
              </w:rPr>
              <w:t>-5 280 000 FCFA</w:t>
            </w:r>
          </w:p>
        </w:tc>
        <w:tc>
          <w:tcPr>
            <w:tcW w:type="dxa" w:w="3010"/>
            <w:shd w:fill="F9FAFC"/>
            <w:tcMar>
              <w:top w:w="120" w:type="dxa"/>
              <w:bottom w:w="120" w:type="dxa"/>
              <w:left w:w="160" w:type="dxa"/>
              <w:right w:w="160" w:type="dxa"/>
            </w:tcMar>
          </w:tcPr>
          <w:p>
            <w:pPr>
              <w:jc w:val="right"/>
            </w:pPr>
            <w:r>
              <w:rPr>
                <w:rFonts w:ascii="Calibri" w:hAnsi="Calibri"/>
                <w:sz w:val="20"/>
              </w:rPr>
              <w:t>-63 360 000</w:t>
            </w:r>
          </w:p>
        </w:tc>
      </w:tr>
      <w:tr>
        <w:tc>
          <w:tcPr>
            <w:tcW w:type="dxa" w:w="3010"/>
            <w:shd w:fill="FFFFFF"/>
            <w:tcMar>
              <w:top w:w="120" w:type="dxa"/>
              <w:bottom w:w="120" w:type="dxa"/>
              <w:left w:w="160" w:type="dxa"/>
              <w:right w:w="160" w:type="dxa"/>
            </w:tcMar>
          </w:tcPr>
          <w:p>
            <w:pPr>
              <w:jc w:val="left"/>
            </w:pPr>
            <w:r>
              <w:rPr>
                <w:rFonts w:ascii="Calibri" w:hAnsi="Calibri"/>
                <w:b/>
                <w:sz w:val="20"/>
              </w:rPr>
              <w:t>MARGE BRUTE DE PRODUCTION</w:t>
            </w:r>
          </w:p>
        </w:tc>
        <w:tc>
          <w:tcPr>
            <w:tcW w:type="dxa" w:w="3010"/>
            <w:shd w:fill="FFFFFF"/>
            <w:tcMar>
              <w:top w:w="120" w:type="dxa"/>
              <w:bottom w:w="120" w:type="dxa"/>
              <w:left w:w="160" w:type="dxa"/>
              <w:right w:w="160" w:type="dxa"/>
            </w:tcMar>
          </w:tcPr>
          <w:p>
            <w:pPr>
              <w:jc w:val="left"/>
            </w:pPr>
            <w:r>
              <w:rPr>
                <w:rFonts w:ascii="Calibri" w:hAnsi="Calibri"/>
                <w:sz w:val="20"/>
              </w:rPr>
              <w:t>14 970 000 FCFA</w:t>
            </w:r>
          </w:p>
        </w:tc>
        <w:tc>
          <w:tcPr>
            <w:tcW w:type="dxa" w:w="3010"/>
            <w:shd w:fill="FFFFFF"/>
            <w:tcMar>
              <w:top w:w="120" w:type="dxa"/>
              <w:bottom w:w="120" w:type="dxa"/>
              <w:left w:w="160" w:type="dxa"/>
              <w:right w:w="160" w:type="dxa"/>
            </w:tcMar>
          </w:tcPr>
          <w:p>
            <w:pPr>
              <w:jc w:val="right"/>
            </w:pPr>
            <w:r>
              <w:rPr>
                <w:rFonts w:ascii="Calibri" w:hAnsi="Calibri"/>
                <w:sz w:val="20"/>
              </w:rPr>
              <w:t>179 640 000</w:t>
            </w:r>
          </w:p>
        </w:tc>
      </w:tr>
      <w:tr>
        <w:tc>
          <w:tcPr>
            <w:tcW w:type="dxa" w:w="3010"/>
            <w:shd w:fill="F9FAFC"/>
            <w:tcMar>
              <w:top w:w="120" w:type="dxa"/>
              <w:bottom w:w="120" w:type="dxa"/>
              <w:left w:w="160" w:type="dxa"/>
              <w:right w:w="160" w:type="dxa"/>
            </w:tcMar>
          </w:tcPr>
          <w:p>
            <w:pPr>
              <w:jc w:val="left"/>
            </w:pPr>
            <w:r>
              <w:rPr>
                <w:rFonts w:ascii="Calibri" w:hAnsi="Calibri"/>
                <w:b/>
                <w:sz w:val="20"/>
              </w:rPr>
              <w:t>Autres Charges Externe &amp; OPEX</w:t>
            </w:r>
          </w:p>
        </w:tc>
        <w:tc>
          <w:tcPr>
            <w:tcW w:type="dxa" w:w="3010"/>
            <w:shd w:fill="F9FAFC"/>
            <w:tcMar>
              <w:top w:w="120" w:type="dxa"/>
              <w:bottom w:w="120" w:type="dxa"/>
              <w:left w:w="160" w:type="dxa"/>
              <w:right w:w="160" w:type="dxa"/>
            </w:tcMar>
          </w:tcPr>
          <w:p>
            <w:pPr>
              <w:jc w:val="left"/>
            </w:pPr>
            <w:r>
              <w:rPr>
                <w:rFonts w:ascii="Calibri" w:hAnsi="Calibri"/>
                <w:sz w:val="20"/>
              </w:rPr>
              <w:t>-5 000 000 FCFA</w:t>
            </w:r>
          </w:p>
        </w:tc>
        <w:tc>
          <w:tcPr>
            <w:tcW w:type="dxa" w:w="3010"/>
            <w:shd w:fill="F9FAFC"/>
            <w:tcMar>
              <w:top w:w="120" w:type="dxa"/>
              <w:bottom w:w="120" w:type="dxa"/>
              <w:left w:w="160" w:type="dxa"/>
              <w:right w:w="160" w:type="dxa"/>
            </w:tcMar>
          </w:tcPr>
          <w:p>
            <w:pPr>
              <w:jc w:val="right"/>
            </w:pPr>
            <w:r>
              <w:rPr>
                <w:rFonts w:ascii="Calibri" w:hAnsi="Calibri"/>
                <w:sz w:val="20"/>
              </w:rPr>
              <w:t>-60 000 000</w:t>
            </w:r>
          </w:p>
        </w:tc>
      </w:tr>
      <w:tr>
        <w:tc>
          <w:tcPr>
            <w:tcW w:type="dxa" w:w="3010"/>
            <w:shd w:fill="FFFFFF"/>
            <w:tcMar>
              <w:top w:w="120" w:type="dxa"/>
              <w:bottom w:w="120" w:type="dxa"/>
              <w:left w:w="160" w:type="dxa"/>
              <w:right w:w="160" w:type="dxa"/>
            </w:tcMar>
          </w:tcPr>
          <w:p>
            <w:pPr>
              <w:jc w:val="left"/>
            </w:pPr>
            <w:r>
              <w:rPr>
                <w:rFonts w:ascii="Calibri" w:hAnsi="Calibri"/>
                <w:b/>
                <w:sz w:val="20"/>
              </w:rPr>
              <w:t>EXCÉDENT BRUT D'EXPLOITATION (EBITDA)</w:t>
            </w:r>
          </w:p>
        </w:tc>
        <w:tc>
          <w:tcPr>
            <w:tcW w:type="dxa" w:w="3010"/>
            <w:shd w:fill="FFFFFF"/>
            <w:tcMar>
              <w:top w:w="120" w:type="dxa"/>
              <w:bottom w:w="120" w:type="dxa"/>
              <w:left w:w="160" w:type="dxa"/>
              <w:right w:w="160" w:type="dxa"/>
            </w:tcMar>
          </w:tcPr>
          <w:p>
            <w:pPr>
              <w:jc w:val="left"/>
            </w:pPr>
            <w:r>
              <w:rPr>
                <w:rFonts w:ascii="Calibri" w:hAnsi="Calibri"/>
                <w:sz w:val="20"/>
              </w:rPr>
              <w:t>9 970 000 FCFA</w:t>
            </w:r>
          </w:p>
        </w:tc>
        <w:tc>
          <w:tcPr>
            <w:tcW w:type="dxa" w:w="3010"/>
            <w:shd w:fill="FFFFFF"/>
            <w:tcMar>
              <w:top w:w="120" w:type="dxa"/>
              <w:bottom w:w="120" w:type="dxa"/>
              <w:left w:w="160" w:type="dxa"/>
              <w:right w:w="160" w:type="dxa"/>
            </w:tcMar>
          </w:tcPr>
          <w:p>
            <w:pPr>
              <w:jc w:val="right"/>
            </w:pPr>
            <w:r>
              <w:rPr>
                <w:rFonts w:ascii="Calibri" w:hAnsi="Calibri"/>
                <w:sz w:val="20"/>
              </w:rPr>
              <w:t>119 640 000</w:t>
            </w:r>
          </w:p>
        </w:tc>
      </w:tr>
      <w:tr>
        <w:tc>
          <w:tcPr>
            <w:tcW w:type="dxa" w:w="3010"/>
            <w:shd w:fill="F9FAFC"/>
            <w:tcMar>
              <w:top w:w="120" w:type="dxa"/>
              <w:bottom w:w="120" w:type="dxa"/>
              <w:left w:w="160" w:type="dxa"/>
              <w:right w:w="160" w:type="dxa"/>
            </w:tcMar>
          </w:tcPr>
          <w:p>
            <w:pPr>
              <w:jc w:val="left"/>
            </w:pPr>
            <w:r>
              <w:rPr>
                <w:rFonts w:ascii="Calibri" w:hAnsi="Calibri"/>
                <w:b/>
                <w:sz w:val="20"/>
              </w:rPr>
              <w:t>Amortissements des Équipements (20%)</w:t>
            </w:r>
          </w:p>
        </w:tc>
        <w:tc>
          <w:tcPr>
            <w:tcW w:type="dxa" w:w="3010"/>
            <w:shd w:fill="F9FAFC"/>
            <w:tcMar>
              <w:top w:w="120" w:type="dxa"/>
              <w:bottom w:w="120" w:type="dxa"/>
              <w:left w:w="160" w:type="dxa"/>
              <w:right w:w="160" w:type="dxa"/>
            </w:tcMar>
          </w:tcPr>
          <w:p>
            <w:pPr>
              <w:jc w:val="left"/>
            </w:pPr>
            <w:r>
              <w:rPr>
                <w:rFonts w:ascii="Calibri" w:hAnsi="Calibri"/>
                <w:sz w:val="20"/>
              </w:rPr>
              <w:t>-350 000 FCFA</w:t>
            </w:r>
          </w:p>
        </w:tc>
        <w:tc>
          <w:tcPr>
            <w:tcW w:type="dxa" w:w="3010"/>
            <w:shd w:fill="F9FAFC"/>
            <w:tcMar>
              <w:top w:w="120" w:type="dxa"/>
              <w:bottom w:w="120" w:type="dxa"/>
              <w:left w:w="160" w:type="dxa"/>
              <w:right w:w="160" w:type="dxa"/>
            </w:tcMar>
          </w:tcPr>
          <w:p>
            <w:pPr>
              <w:jc w:val="right"/>
            </w:pPr>
            <w:r>
              <w:rPr>
                <w:rFonts w:ascii="Calibri" w:hAnsi="Calibri"/>
                <w:sz w:val="20"/>
              </w:rPr>
              <w:t>-4 200 000</w:t>
            </w:r>
          </w:p>
        </w:tc>
      </w:tr>
      <w:tr>
        <w:tc>
          <w:tcPr>
            <w:tcW w:type="dxa" w:w="3010"/>
            <w:shd w:fill="FFFFFF"/>
            <w:tcMar>
              <w:top w:w="120" w:type="dxa"/>
              <w:bottom w:w="120" w:type="dxa"/>
              <w:left w:w="160" w:type="dxa"/>
              <w:right w:w="160" w:type="dxa"/>
            </w:tcMar>
          </w:tcPr>
          <w:p>
            <w:pPr>
              <w:jc w:val="left"/>
            </w:pPr>
            <w:r>
              <w:rPr>
                <w:rFonts w:ascii="Calibri" w:hAnsi="Calibri"/>
                <w:b/>
                <w:sz w:val="20"/>
              </w:rPr>
              <w:t>RÉSULTAT NET AVANT IMPÔT</w:t>
            </w:r>
          </w:p>
        </w:tc>
        <w:tc>
          <w:tcPr>
            <w:tcW w:type="dxa" w:w="3010"/>
            <w:shd w:fill="FFFFFF"/>
            <w:tcMar>
              <w:top w:w="120" w:type="dxa"/>
              <w:bottom w:w="120" w:type="dxa"/>
              <w:left w:w="160" w:type="dxa"/>
              <w:right w:w="160" w:type="dxa"/>
            </w:tcMar>
          </w:tcPr>
          <w:p>
            <w:pPr>
              <w:jc w:val="left"/>
            </w:pPr>
            <w:r>
              <w:rPr>
                <w:rFonts w:ascii="Calibri" w:hAnsi="Calibri"/>
                <w:sz w:val="20"/>
              </w:rPr>
              <w:t>9 620 000 FCFA</w:t>
            </w:r>
          </w:p>
        </w:tc>
        <w:tc>
          <w:tcPr>
            <w:tcW w:type="dxa" w:w="3010"/>
            <w:shd w:fill="FFFFFF"/>
            <w:tcMar>
              <w:top w:w="120" w:type="dxa"/>
              <w:bottom w:w="120" w:type="dxa"/>
              <w:left w:w="160" w:type="dxa"/>
              <w:right w:w="160" w:type="dxa"/>
            </w:tcMar>
          </w:tcPr>
          <w:p>
            <w:pPr>
              <w:jc w:val="right"/>
            </w:pPr>
            <w:r>
              <w:rPr>
                <w:rFonts w:ascii="Calibri" w:hAnsi="Calibri"/>
                <w:sz w:val="20"/>
              </w:rPr>
              <w:t>115 440 000</w:t>
            </w:r>
          </w:p>
        </w:tc>
      </w:tr>
    </w:tbl>
    <w:p>
      <w:pPr>
        <w:spacing w:after="160"/>
      </w:pPr>
    </w:p>
    <w:p>
      <w:pPr>
        <w:keepNext/>
        <w:spacing w:before="280" w:after="80"/>
      </w:pPr>
      <w:r>
        <w:rPr>
          <w:rFonts w:ascii="Arial" w:hAnsi="Arial"/>
          <w:b/>
          <w:color w:val="B66A3F"/>
          <w:sz w:val="24"/>
        </w:rPr>
        <w:t>5.5 Indicateurs Clés de Rentabilité (KPIs)</w:t>
      </w:r>
    </w:p>
    <w:p>
      <w:pPr>
        <w:pStyle w:val="ListBullet"/>
        <w:spacing w:after="40" w:line="276" w:lineRule="auto"/>
      </w:pPr>
      <w:r>
        <w:rPr>
          <w:b/>
        </w:rPr>
        <w:t xml:space="preserve">Marge Brute de Production : </w:t>
      </w:r>
      <w:r>
        <w:t>73.9 %</w:t>
      </w:r>
    </w:p>
    <w:p>
      <w:pPr>
        <w:pStyle w:val="ListBullet"/>
        <w:spacing w:after="40" w:line="276" w:lineRule="auto"/>
      </w:pPr>
      <w:r>
        <w:rPr>
          <w:b/>
        </w:rPr>
        <w:t xml:space="preserve">Marge d'EBITDA : </w:t>
      </w:r>
      <w:r>
        <w:t>59.1 %</w:t>
      </w:r>
    </w:p>
    <w:p>
      <w:pPr>
        <w:pStyle w:val="ListBullet"/>
        <w:spacing w:after="40" w:line="276" w:lineRule="auto"/>
      </w:pPr>
      <w:r>
        <w:rPr>
          <w:b/>
        </w:rPr>
        <w:t xml:space="preserve">Retour sur Investissement (ROI) : </w:t>
      </w:r>
      <w:r>
        <w:t>Moins de 6 mois d'exploitation continue</w:t>
      </w:r>
    </w:p>
    <w:p>
      <w:pPr>
        <w:pStyle w:val="ListBullet"/>
        <w:spacing w:after="40" w:line="276" w:lineRule="auto"/>
      </w:pPr>
      <w:r>
        <w:rPr>
          <w:b/>
        </w:rPr>
        <w:t xml:space="preserve">Point Mort (Seuil de Rentabilité) : </w:t>
      </w:r>
      <w:r>
        <w:t>18,5 Tonnes / mois (soit 41 % de la capacité maximale)</w:t>
      </w:r>
    </w:p>
    <w:p>
      <w:pPr>
        <w:keepNext/>
        <w:spacing w:before="360" w:after="120"/>
        <w:pBdr>
          <w:bottom w:val="single" w:sz="12" w:space="4" w:color="C99B5B"/>
        </w:pBdr>
      </w:pPr>
      <w:r>
        <w:rPr>
          <w:rFonts w:ascii="Arial" w:hAnsi="Arial"/>
          <w:b/>
          <w:color w:val="0E2C43"/>
          <w:sz w:val="28"/>
        </w:rPr>
        <w:t>6. ANALYSE CRITIQUE DES RISQUES ET PLAN DE MITIGATION</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3010"/>
        <w:gridCol w:w="3010"/>
        <w:gridCol w:w="3010"/>
      </w:tblGrid>
      <w:tr>
        <w:tc>
          <w:tcPr>
            <w:tcW w:type="dxa" w:w="3010"/>
            <w:shd w:fill="0E2C43"/>
            <w:tcMar>
              <w:top w:w="140" w:type="dxa"/>
              <w:bottom w:w="140" w:type="dxa"/>
              <w:left w:w="160" w:type="dxa"/>
              <w:right w:w="160" w:type="dxa"/>
            </w:tcMar>
          </w:tcPr>
          <w:p>
            <w:pPr>
              <w:jc w:val="left"/>
            </w:pPr>
            <w:r>
              <w:rPr>
                <w:rFonts w:ascii="Arial" w:hAnsi="Arial"/>
                <w:b/>
                <w:color w:val="FFFFFF"/>
                <w:sz w:val="20"/>
              </w:rPr>
              <w:t>Risque Identifié</w:t>
            </w:r>
          </w:p>
        </w:tc>
        <w:tc>
          <w:tcPr>
            <w:tcW w:type="dxa" w:w="3010"/>
            <w:shd w:fill="0E2C43"/>
            <w:tcMar>
              <w:top w:w="140" w:type="dxa"/>
              <w:bottom w:w="140" w:type="dxa"/>
              <w:left w:w="160" w:type="dxa"/>
              <w:right w:w="160" w:type="dxa"/>
            </w:tcMar>
          </w:tcPr>
          <w:p>
            <w:pPr>
              <w:jc w:val="left"/>
            </w:pPr>
            <w:r>
              <w:rPr>
                <w:rFonts w:ascii="Arial" w:hAnsi="Arial"/>
                <w:b/>
                <w:color w:val="FFFFFF"/>
                <w:sz w:val="20"/>
              </w:rPr>
              <w:t>Niveau</w:t>
            </w:r>
          </w:p>
        </w:tc>
        <w:tc>
          <w:tcPr>
            <w:tcW w:type="dxa" w:w="3010"/>
            <w:shd w:fill="0E2C43"/>
            <w:tcMar>
              <w:top w:w="140" w:type="dxa"/>
              <w:bottom w:w="140" w:type="dxa"/>
              <w:left w:w="160" w:type="dxa"/>
              <w:right w:w="160" w:type="dxa"/>
            </w:tcMar>
          </w:tcPr>
          <w:p>
            <w:pPr>
              <w:jc w:val="right"/>
            </w:pPr>
            <w:r>
              <w:rPr>
                <w:rFonts w:ascii="Arial" w:hAnsi="Arial"/>
                <w:b/>
                <w:color w:val="FFFFFF"/>
                <w:sz w:val="20"/>
              </w:rPr>
              <w:t>Plan de Mitigation Concret (18 EITHING SARL)</w:t>
            </w:r>
          </w:p>
        </w:tc>
      </w:tr>
      <w:tr>
        <w:tc>
          <w:tcPr>
            <w:tcW w:type="dxa" w:w="3010"/>
            <w:shd w:fill="FFFFFF"/>
            <w:tcMar>
              <w:top w:w="120" w:type="dxa"/>
              <w:bottom w:w="120" w:type="dxa"/>
              <w:left w:w="160" w:type="dxa"/>
              <w:right w:w="160" w:type="dxa"/>
            </w:tcMar>
          </w:tcPr>
          <w:p>
            <w:pPr>
              <w:jc w:val="left"/>
            </w:pPr>
            <w:r>
              <w:rPr>
                <w:rFonts w:ascii="Calibri" w:hAnsi="Calibri"/>
                <w:b/>
                <w:sz w:val="20"/>
              </w:rPr>
              <w:t>Saisonnalité / Pénurie approvisionnement</w:t>
            </w:r>
          </w:p>
        </w:tc>
        <w:tc>
          <w:tcPr>
            <w:tcW w:type="dxa" w:w="3010"/>
            <w:shd w:fill="FFFFFF"/>
            <w:tcMar>
              <w:top w:w="120" w:type="dxa"/>
              <w:bottom w:w="120" w:type="dxa"/>
              <w:left w:w="160" w:type="dxa"/>
              <w:right w:w="160" w:type="dxa"/>
            </w:tcMar>
          </w:tcPr>
          <w:p>
            <w:pPr>
              <w:jc w:val="left"/>
            </w:pPr>
            <w:r>
              <w:rPr>
                <w:rFonts w:ascii="Calibri" w:hAnsi="Calibri"/>
                <w:sz w:val="20"/>
              </w:rPr>
              <w:t>Moyen</w:t>
            </w:r>
          </w:p>
        </w:tc>
        <w:tc>
          <w:tcPr>
            <w:tcW w:type="dxa" w:w="3010"/>
            <w:shd w:fill="FFFFFF"/>
            <w:tcMar>
              <w:top w:w="120" w:type="dxa"/>
              <w:bottom w:w="120" w:type="dxa"/>
              <w:left w:w="160" w:type="dxa"/>
              <w:right w:w="160" w:type="dxa"/>
            </w:tcMar>
          </w:tcPr>
          <w:p>
            <w:pPr>
              <w:jc w:val="left"/>
            </w:pPr>
            <w:r>
              <w:rPr>
                <w:rFonts w:ascii="Calibri" w:hAnsi="Calibri"/>
                <w:sz w:val="20"/>
              </w:rPr>
              <w:t>Stock de sécurité de 30 jours + diversification géographique sur 4 départements.</w:t>
            </w:r>
          </w:p>
        </w:tc>
      </w:tr>
      <w:tr>
        <w:tc>
          <w:tcPr>
            <w:tcW w:type="dxa" w:w="3010"/>
            <w:shd w:fill="F9FAFC"/>
            <w:tcMar>
              <w:top w:w="120" w:type="dxa"/>
              <w:bottom w:w="120" w:type="dxa"/>
              <w:left w:w="160" w:type="dxa"/>
              <w:right w:w="160" w:type="dxa"/>
            </w:tcMar>
          </w:tcPr>
          <w:p>
            <w:pPr>
              <w:jc w:val="left"/>
            </w:pPr>
            <w:r>
              <w:rPr>
                <w:rFonts w:ascii="Calibri" w:hAnsi="Calibri"/>
                <w:b/>
                <w:sz w:val="20"/>
              </w:rPr>
              <w:t>Coupures d'électricité (Sbee)</w:t>
            </w:r>
          </w:p>
        </w:tc>
        <w:tc>
          <w:tcPr>
            <w:tcW w:type="dxa" w:w="3010"/>
            <w:shd w:fill="F9FAFC"/>
            <w:tcMar>
              <w:top w:w="120" w:type="dxa"/>
              <w:bottom w:w="120" w:type="dxa"/>
              <w:left w:w="160" w:type="dxa"/>
              <w:right w:w="160" w:type="dxa"/>
            </w:tcMar>
          </w:tcPr>
          <w:p>
            <w:pPr>
              <w:jc w:val="left"/>
            </w:pPr>
            <w:r>
              <w:rPr>
                <w:rFonts w:ascii="Calibri" w:hAnsi="Calibri"/>
                <w:sz w:val="20"/>
              </w:rPr>
              <w:t>Élevé</w:t>
            </w:r>
          </w:p>
        </w:tc>
        <w:tc>
          <w:tcPr>
            <w:tcW w:type="dxa" w:w="3010"/>
            <w:shd w:fill="F9FAFC"/>
            <w:tcMar>
              <w:top w:w="120" w:type="dxa"/>
              <w:bottom w:w="120" w:type="dxa"/>
              <w:left w:w="160" w:type="dxa"/>
              <w:right w:w="160" w:type="dxa"/>
            </w:tcMar>
          </w:tcPr>
          <w:p>
            <w:pPr>
              <w:jc w:val="left"/>
            </w:pPr>
            <w:r>
              <w:rPr>
                <w:rFonts w:ascii="Calibri" w:hAnsi="Calibri"/>
                <w:sz w:val="20"/>
              </w:rPr>
              <w:t>Acquisition d'un groupe électrogène industriel de secours 20 kVA dédié.</w:t>
            </w:r>
          </w:p>
        </w:tc>
      </w:tr>
      <w:tr>
        <w:tc>
          <w:tcPr>
            <w:tcW w:type="dxa" w:w="3010"/>
            <w:shd w:fill="FFFFFF"/>
            <w:tcMar>
              <w:top w:w="120" w:type="dxa"/>
              <w:bottom w:w="120" w:type="dxa"/>
              <w:left w:w="160" w:type="dxa"/>
              <w:right w:w="160" w:type="dxa"/>
            </w:tcMar>
          </w:tcPr>
          <w:p>
            <w:pPr>
              <w:jc w:val="left"/>
            </w:pPr>
            <w:r>
              <w:rPr>
                <w:rFonts w:ascii="Calibri" w:hAnsi="Calibri"/>
                <w:b/>
                <w:sz w:val="20"/>
              </w:rPr>
              <w:t>Contamination des plastiques (PP/PEHD)</w:t>
            </w:r>
          </w:p>
        </w:tc>
        <w:tc>
          <w:tcPr>
            <w:tcW w:type="dxa" w:w="3010"/>
            <w:shd w:fill="FFFFFF"/>
            <w:tcMar>
              <w:top w:w="120" w:type="dxa"/>
              <w:bottom w:w="120" w:type="dxa"/>
              <w:left w:w="160" w:type="dxa"/>
              <w:right w:w="160" w:type="dxa"/>
            </w:tcMar>
          </w:tcPr>
          <w:p>
            <w:pPr>
              <w:jc w:val="left"/>
            </w:pPr>
            <w:r>
              <w:rPr>
                <w:rFonts w:ascii="Calibri" w:hAnsi="Calibri"/>
                <w:sz w:val="20"/>
              </w:rPr>
              <w:t>Élevé</w:t>
            </w:r>
          </w:p>
        </w:tc>
        <w:tc>
          <w:tcPr>
            <w:tcW w:type="dxa" w:w="3010"/>
            <w:shd w:fill="FFFFFF"/>
            <w:tcMar>
              <w:top w:w="120" w:type="dxa"/>
              <w:bottom w:w="120" w:type="dxa"/>
              <w:left w:w="160" w:type="dxa"/>
              <w:right w:w="160" w:type="dxa"/>
            </w:tcMar>
          </w:tcPr>
          <w:p>
            <w:pPr>
              <w:jc w:val="left"/>
            </w:pPr>
            <w:r>
              <w:rPr>
                <w:rFonts w:ascii="Calibri" w:hAnsi="Calibri"/>
                <w:sz w:val="20"/>
              </w:rPr>
              <w:t>Tri à 2 niveaux + test de densité par flottaison systématique avant broyage.</w:t>
            </w:r>
          </w:p>
        </w:tc>
      </w:tr>
      <w:tr>
        <w:tc>
          <w:tcPr>
            <w:tcW w:type="dxa" w:w="3010"/>
            <w:shd w:fill="F9FAFC"/>
            <w:tcMar>
              <w:top w:w="120" w:type="dxa"/>
              <w:bottom w:w="120" w:type="dxa"/>
              <w:left w:w="160" w:type="dxa"/>
              <w:right w:w="160" w:type="dxa"/>
            </w:tcMar>
          </w:tcPr>
          <w:p>
            <w:pPr>
              <w:jc w:val="left"/>
            </w:pPr>
            <w:r>
              <w:rPr>
                <w:rFonts w:ascii="Calibri" w:hAnsi="Calibri"/>
                <w:b/>
                <w:sz w:val="20"/>
              </w:rPr>
              <w:t>Usure prématurée des lames de broyeur</w:t>
            </w:r>
          </w:p>
        </w:tc>
        <w:tc>
          <w:tcPr>
            <w:tcW w:type="dxa" w:w="3010"/>
            <w:shd w:fill="F9FAFC"/>
            <w:tcMar>
              <w:top w:w="120" w:type="dxa"/>
              <w:bottom w:w="120" w:type="dxa"/>
              <w:left w:w="160" w:type="dxa"/>
              <w:right w:w="160" w:type="dxa"/>
            </w:tcMar>
          </w:tcPr>
          <w:p>
            <w:pPr>
              <w:jc w:val="left"/>
            </w:pPr>
            <w:r>
              <w:rPr>
                <w:rFonts w:ascii="Calibri" w:hAnsi="Calibri"/>
                <w:sz w:val="20"/>
              </w:rPr>
              <w:t>Moyen</w:t>
            </w:r>
          </w:p>
        </w:tc>
        <w:tc>
          <w:tcPr>
            <w:tcW w:type="dxa" w:w="3010"/>
            <w:shd w:fill="F9FAFC"/>
            <w:tcMar>
              <w:top w:w="120" w:type="dxa"/>
              <w:bottom w:w="120" w:type="dxa"/>
              <w:left w:w="160" w:type="dxa"/>
              <w:right w:w="160" w:type="dxa"/>
            </w:tcMar>
          </w:tcPr>
          <w:p>
            <w:pPr>
              <w:jc w:val="left"/>
            </w:pPr>
            <w:r>
              <w:rPr>
                <w:rFonts w:ascii="Calibri" w:hAnsi="Calibri"/>
                <w:sz w:val="20"/>
              </w:rPr>
              <w:t>Contrat d'affûtage local + stock permanent de 2 jeux de lames de rechange.</w:t>
            </w:r>
          </w:p>
        </w:tc>
      </w:tr>
      <w:tr>
        <w:tc>
          <w:tcPr>
            <w:tcW w:type="dxa" w:w="3010"/>
            <w:shd w:fill="FFFFFF"/>
            <w:tcMar>
              <w:top w:w="120" w:type="dxa"/>
              <w:bottom w:w="120" w:type="dxa"/>
              <w:left w:w="160" w:type="dxa"/>
              <w:right w:w="160" w:type="dxa"/>
            </w:tcMar>
          </w:tcPr>
          <w:p>
            <w:pPr>
              <w:jc w:val="left"/>
            </w:pPr>
            <w:r>
              <w:rPr>
                <w:rFonts w:ascii="Calibri" w:hAnsi="Calibri"/>
                <w:b/>
                <w:sz w:val="20"/>
              </w:rPr>
              <w:t>Accidents du travail / Pénibilité</w:t>
            </w:r>
          </w:p>
        </w:tc>
        <w:tc>
          <w:tcPr>
            <w:tcW w:type="dxa" w:w="3010"/>
            <w:shd w:fill="FFFFFF"/>
            <w:tcMar>
              <w:top w:w="120" w:type="dxa"/>
              <w:bottom w:w="120" w:type="dxa"/>
              <w:left w:w="160" w:type="dxa"/>
              <w:right w:w="160" w:type="dxa"/>
            </w:tcMar>
          </w:tcPr>
          <w:p>
            <w:pPr>
              <w:jc w:val="left"/>
            </w:pPr>
            <w:r>
              <w:rPr>
                <w:rFonts w:ascii="Calibri" w:hAnsi="Calibri"/>
                <w:sz w:val="20"/>
              </w:rPr>
              <w:t>Moyen</w:t>
            </w:r>
          </w:p>
        </w:tc>
        <w:tc>
          <w:tcPr>
            <w:tcW w:type="dxa" w:w="3010"/>
            <w:shd w:fill="FFFFFF"/>
            <w:tcMar>
              <w:top w:w="120" w:type="dxa"/>
              <w:bottom w:w="120" w:type="dxa"/>
              <w:left w:w="160" w:type="dxa"/>
              <w:right w:w="160" w:type="dxa"/>
            </w:tcMar>
          </w:tcPr>
          <w:p>
            <w:pPr>
              <w:jc w:val="left"/>
            </w:pPr>
            <w:r>
              <w:rPr>
                <w:rFonts w:ascii="Calibri" w:hAnsi="Calibri"/>
                <w:sz w:val="20"/>
              </w:rPr>
              <w:t>Supervision SST M. Pedro KPONON, port des EPI obligatoire, rotation des postes.</w:t>
            </w:r>
          </w:p>
        </w:tc>
      </w:tr>
    </w:tbl>
    <w:p>
      <w:pPr>
        <w:spacing w:after="160"/>
      </w:pPr>
    </w:p>
    <w:p>
      <w:pPr>
        <w:keepNext/>
        <w:spacing w:before="360" w:after="120"/>
        <w:pBdr>
          <w:bottom w:val="single" w:sz="12" w:space="4" w:color="C99B5B"/>
        </w:pBdr>
      </w:pPr>
      <w:r>
        <w:rPr>
          <w:rFonts w:ascii="Arial" w:hAnsi="Arial"/>
          <w:b/>
          <w:color w:val="0E2C43"/>
          <w:sz w:val="28"/>
        </w:rPr>
        <w:t>7. CONCLUSION &amp; DEMANDE DE FINANCEMENT</w:t>
      </w:r>
    </w:p>
    <w:p>
      <w:pPr>
        <w:spacing w:after="120" w:line="276" w:lineRule="auto"/>
      </w:pPr>
      <w:r>
        <w:t>Le projet porté par 18 EITHING SARL à Kétou combine une opportunité économique à haute rentabilité, une utilité écologique majeure pour la gestion des déchets au Bénin, et une gouvernance expérimentée et complémentaire.</w:t>
      </w:r>
    </w:p>
    <w:tbl>
      <w:tblPr>
        <w:tblW w:type="auto" w:w="0"/>
        <w:jc w:val="center"/>
        <w:tblLook w:firstColumn="1" w:firstRow="1" w:lastColumn="0" w:lastRow="0" w:noHBand="0" w:noVBand="1" w:val="04A0"/>
      </w:tblPr>
      <w:tblGrid>
        <w:gridCol w:w="9029"/>
      </w:tblGrid>
      <w:tr>
        <w:tc>
          <w:tcPr>
            <w:tcW w:type="dxa" w:w="9029"/>
            <w:shd w:fill="F4EFE9"/>
            <w:tcMar>
              <w:top w:w="180" w:type="dxa"/>
              <w:bottom w:w="180" w:type="dxa"/>
              <w:left w:w="240" w:type="dxa"/>
              <w:right w:w="240" w:type="dxa"/>
            </w:tcMar>
            <w:tcBorders>
              <w:left w:val="single" w:sz="24" w:space="0" w:color="0E2C43"/>
              <w:top w:val="none"/>
              <w:right w:val="none"/>
              <w:bottom w:val="none"/>
            </w:tcBorders>
          </w:tcPr>
          <w:p>
            <w:pPr>
              <w:spacing w:before="0" w:after="80"/>
            </w:pPr>
            <w:r>
              <w:rPr>
                <w:rFonts w:ascii="Arial" w:hAnsi="Arial"/>
                <w:b/>
                <w:color w:val="0E2C43"/>
                <w:sz w:val="22"/>
              </w:rPr>
              <w:t>DEMANDE DE FINANCEMENT BANCAIRE / INVESTISSEUR</w:t>
            </w:r>
          </w:p>
          <w:p>
            <w:pPr>
              <w:spacing w:before="40" w:after="0" w:line="276" w:lineRule="auto"/>
            </w:pPr>
            <w:r>
              <w:rPr>
                <w:rFonts w:ascii="Calibri" w:hAnsi="Calibri"/>
                <w:i/>
                <w:color w:val="2B2B2B"/>
                <w:sz w:val="21"/>
              </w:rPr>
              <w:t>Pour soutenir le démarrage de l'unité industrielle et couvrir le besoin d'investissement (CAPEX) et de BFR de démarrage, 18 EITHING SARL sollicite un accompagnement financier à hauteur de 28 000 000 FCFA sous forme de concours bancaire ou d'apport en fonds propres.</w:t>
            </w:r>
          </w:p>
        </w:tc>
      </w:tr>
    </w:tbl>
    <w:p>
      <w:pPr>
        <w:spacing w:after="120"/>
      </w:pPr>
    </w:p>
    <w:p>
      <w:pPr>
        <w:spacing w:before="320" w:line="276" w:lineRule="auto"/>
        <w:jc w:val="right"/>
      </w:pPr>
      <w:r>
        <w:rPr>
          <w:i/>
        </w:rPr>
        <w:t>Dossier établi à Kétou, République du Bénin.</w:t>
        <w:br/>
        <w:t>Pour la Direction Générale,</w:t>
        <w:br/>
      </w:r>
      <w:r>
        <w:rPr>
          <w:b/>
          <w:color w:val="0E2C43"/>
        </w:rPr>
        <w:t>M. Hubert C. TOKPANOU &amp; M. Pedro S. KPONON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