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Draft response to the professor — for author review, not sent</w:t>
      </w:r>
    </w:p>
    <w:p>
      <w:r>
        <w:t>Thank you for the detailed comments on “Multimodal Deep Learning for Real-Time Glucose Prediction with Zero/Few-Shot On-Premises LLM Explainability: External Validation on an Independent Adolescent Cohort.” This response refers to the 16-page manuscript_SUBMISSION_draft_mdpi.pdf supplied for review. The revision retains that title, the GlucoSense objective, the nine main sections and the original Sections 7.1–7.5. DDATSHR remains the main adolescent-cohort study. The completed DiaData analysis extends the larger-scale validation work already proposed in Section 4.2 and the original future-work list.</w:t>
      </w:r>
    </w:p>
    <w:p>
      <w:r>
        <w:t>The original findings have been corrected where the underlying artifacts did not substantiate them; the numerical results below come from the completed experiments. The title is retained, but the Abstract and Introduction distinguish retrained external-cohort evaluation from frozen-model validation, and intended real-time use from an evaluated live service.</w:t>
      </w:r>
    </w:p>
    <w:p>
      <w:pPr>
        <w:pStyle w:val="Heading1"/>
      </w:pPr>
      <w:r>
        <w:t>1. Deep models and modality discrepancy</w:t>
      </w:r>
    </w:p>
    <w:p>
      <w:r>
        <w:t>All three reduced-input neural variants have now been trained and evaluated alongside Ridge, RF, XGBoost, persistence and linear trend on exactly the same patient/timestamp test manifests. The corrected cohorts contain 17 DDATSHR participants (72,414 origins) and 29 non-DDATSHR DiaData participants (14,500 origins). Each outer fold uses a separate validation patient; preprocessing and tuning exclude the test patient. Three seeds, restored checkpoints, direct simplex-constrained ensemble weights, CGM-only ablations, matched history sensitivity and source-held-out tests are saved.</w:t>
      </w:r>
    </w:p>
    <w:p>
      <w:r>
        <w:t>RF macro MAE at 30/60/90 minutes is 18.12/30.54/38.82 mg/dL on DDATSHR and 23.92/34.25/41.63 mg/dL on DiaData. After correction across 18 tests, adding HR improved RF in 0/6 cohort–horizon comparisons, while stacking improved RF in 3/6. The stack findings were ddatshr: 3/3 horizons; diadata: 0/3 horizons.</w:t>
      </w:r>
    </w:p>
    <w:p>
      <w:r>
        <w:t>The revised Discussion (Sections 7.5 and 8) no longer attributes the historical OhioT1DM gap to data scarcity or absent modalities. The earlier six-modal checkpoints and reconstructed streams are unavailable, and its result cannot be reproduced from this repository. Comparing newly fitted two-modal models with an unverified historical number does not isolate a modality effect. The new TFT variant is explicitly labelled an encoder inspired by TFT, rather than a reproduction of the full original architecture. The manuscript is therefore framed as a new retrospective evaluation, not locked-model external validation of the previous system.</w:t>
      </w:r>
    </w:p>
    <w:p>
      <w:pPr>
        <w:pStyle w:val="Heading1"/>
      </w:pPr>
      <w:r>
        <w:t>2. Filter false negatives and apparent numerical reliability</w:t>
      </w:r>
    </w:p>
    <w:p>
      <w:r>
        <w:t>The previous claim of perfect numeric grounding has been withdrawn. Its cases had null SHAP, invented ±15 mg/dL intervals, a single held-out participant, and a numerical filter that could confuse units and count missing claims as successes. The historical generation runner is disabled.</w:t>
      </w:r>
    </w:p>
    <w:p>
      <w:r>
        <w:t>The new cases use actual held-out RF forecasts and TreeSHAP values whose additivity has been checked. The local generator must preserve a declared typed contract. Missing fields, wrong horizons/units/values, duplicate keys, undeclared advice and invalid categories are rejected. Free prose is not declared verified. Rejected LLM outputs are counted as rejected even though a deterministic template supplies a fallback.</w:t>
      </w:r>
    </w:p>
    <w:p>
      <w:r>
        <w:t>On the final patient-separated cases, zero-shot acceptance is 100/111 and few-shot acceptance is 96/111; the deterministic comparator achieves 111/111. The separately designated synthetic challenge families yielded 300/300 rejections. Crucially, all 30 source-corruption cases were accepted when the incorrect source was faithfully copied. This gives an explicit example of end-to-end false reassurance outside the detector's contract. It cannot establish source truth, forecast accuracy, causal SHAP interpretation or clinical appropriateness. These limitations appear in Sections 3.3, 6.2–6.3 and 8.1. This is neither full FActScore nor clinician-rated safety.</w:t>
      </w:r>
    </w:p>
    <w:p>
      <w:pPr>
        <w:pStyle w:val="Heading1"/>
      </w:pPr>
      <w:r>
        <w:t>3. Patient heterogeneity and participant 907</w:t>
      </w:r>
    </w:p>
    <w:p>
      <w:r>
        <w:t>DDATSHR RF 30-minute participant RMSE ranged from 18.97 to 28.90 mg/dL. Participant 907 had RMSE 22.75 mg/dL (rank 13 of 17, highest error first), 1,305 eligible origins and 21.4 recorded days. Its source-grid glucose and HR missing fractions were 16.3% and 7.2%, and eligible-input glucose SD was 73.27 mg/dL. Actual sensor labels were Abbott and Medtronic. These measurements replace the earlier inference from a small, device-selected sample; they do not identify a physiological cause. Exploratory Spearman associations with participant RMSE were ddatshr: recent absolute glucose rate rho=0.92, glucose SD rho=0.28, glucose missing fraction rho=0.13, HR missing fraction rho=0.02; diadata: recent absolute glucose rate rho=0.86, glucose SD rho=0.80, glucose missing fraction rho=-0.10, HR missing fraction rho=0.05. These cross-participant associations are unadjusted, may reflect source composition and do not establish causes of an individual participant’s error.</w:t>
      </w:r>
    </w:p>
    <w:p>
      <w:r>
        <w:t>The new patient-profile table also contains recording duration, glucose and HR missingness, available demographics, rate of change and glycemic distribution. Associations are exploratory. We do not infer a physiological mechanism from a small cohort or equate ordinary Abbott 15-minute sampling with pathological fragmentation. Figures 4–5 and Section 7.3 present the corrected error distribution; Section 8 explains what can and cannot be attributed to patient physiology.</w:t>
      </w:r>
    </w:p>
    <w:p>
      <w:pPr>
        <w:pStyle w:val="Heading1"/>
      </w:pPr>
      <w:r>
        <w:t>4. Grammar and equation indices</w:t>
      </w:r>
    </w:p>
    <w:p>
      <w:r>
        <w:t>The original section sequence is retained, with corrected methods, result statements and grammar. Subject–verb agreement has been corrected, and the input notation consistently distinguishes participant p, forecast origin t, history index k and channel c. The prediction horizon h is explicit in each base forecast in Equation (2), and the RF-specific reference expectation is indexed by the held-out participant in Equation (3). Word equation indices are rendered as subscripts. The new source and generated Word document use the same result values.</w:t>
      </w:r>
    </w:p>
    <w:p>
      <w:pPr>
        <w:pStyle w:val="Heading1"/>
      </w:pPr>
      <w:r>
        <w:t>Additional changes needed to support these responses</w:t>
      </w:r>
    </w:p>
    <w:p>
      <w:r>
        <w:t>Observed-only targets replace the interpolated DiaData targets. Upstream timestamp rounding is acknowledged with a conservative input delay. Device/clock exclusions and malformed rows are audited. Patient-level bootstrap intervals and paired tests replace inference over overlapping windows, with Holm correction across 18 primary tests. All Clarke zones are reported with the corrected lower-C boundary. New figures are supplied as vector files and 600-dpi PNGs. Related work now includes prior glucose/SHAP/LLM studies; broad novelty, clinical-safety, fine-tuning equivalence and zero-total-cost claims have been removed.</w:t>
      </w:r>
    </w:p>
    <w:p>
      <w:r>
        <w:t>The earlier publication is explicitly disclosed. The revision does not reuse its artwork or present its unavailable result artifacts as verified. The clean manuscript, extensively highlighted review copy, result tables, code and verification record accompany this response. The highlight copy marks text differing from the user-supplied professor-reviewed PDF, not Word tracked deletions. REVISION_MAP_FOR_PROFESSOR.md explains corrections and displaced claims section by section.</w:t>
      </w:r>
    </w:p>
    <w:p>
      <w:pPr>
        <w:pStyle w:val="Heading1"/>
      </w:pPr>
      <w:r>
        <w:t>Additional strengthening while preserving the original paper</w:t>
      </w:r>
    </w:p>
    <w:p>
      <w:r>
        <w:t>The separately labelled v3 work adds a new frozen DDATSHR-to-AZT1D glucose-only evaluation, a modern Chronos-2 comparator on unchanged primary test origins, and 276 RF sensitivity fits with three inner validation participants. AZT1D retains 24 participants and 92,976 origins; one ambiguous CGM/BGM source field is excluded before scoring. This is not an adolescent-only cohort or a clinical trial. The models and stack were frozen before AZT1D scoring, and the primary 18-test family remains unchanged.</w:t>
      </w:r>
    </w:p>
    <w:p>
      <w:r>
        <w:t>AZT1D’s lowest point-estimate MAEs were 30 minutes: Stack, 15.06 mg/dL; 60 minutes: BiLSTMTransformer, 24.33 mg/dL; 90 minutes: BiLSTMTransformer, 30.34 mg/dL. Chronos-2 MAE on ddatshr was 19.70/34.33/45.04 mg/dL. Three-validator RF HR-minus-CGM differences on ddatshr were +0.17/+0.09/+0.05 mg/dL. Chronos-2 MAE on diadata was 23.85/36.23/45.37 mg/dL. Three-validator RF HR-minus-CGM differences on diadata were +0.21/+0.15/+0.10 mg/dL. These point estimates do not establish universal architecture superiority or HR equivalence. The supplementary tables retain all seeds, participant errors, glycemic ranges, Clarke zones and paired descriptive intervals.</w:t>
      </w:r>
    </w:p>
    <w:p>
      <w:r>
        <w:t>A separate sequential replay measures actual prediction, TreeSHAP, local generation and validation/rendering on 30 fixed test cases. The 30 cases represented 24 participants. Median total processing times were deterministic: 0.124 s; few_shot: 26.659 s; zero_shot: 26.600 s. There were 0 observed deadline misses and 0 request errors across 90 measured runs. This small warm replay cannot establish hard real-time guarantees or patient benefit. Tables 7–8 and Figure 7 document these additions within the original section structure. The original adolescent evaluation remains retraining-based; the new frozen glucose-only experiment does not authenticate the unavailable historical multimodal model.</w:t>
      </w:r>
    </w:p>
    <w:p>
      <w:pPr>
        <w:pStyle w:val="Heading1"/>
      </w:pPr>
      <w:r>
        <w:t>Before submission</w:t>
      </w:r>
    </w:p>
    <w:p>
      <w:r>
        <w:t>Please review the complete revised research and confirm the author declarations, institutional secondary-data requirements and treatment of the related prior publication. This draft does not claim that you have already approved the revision, does not invent clinical validation, and has not been sent to any journal.</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