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the professor third review</w:t>
      </w:r>
    </w:p>
    <w:p>
      <w:pPr/>
      <w:r>
        <w:t>This revision uses verified Qwen evidence as the primary generation experiment and preserves the original forecasting and RF attribution workflow. Earlier DeepSeek numerical claims are removed because matching raw structured-generation evidence was not recovered and the recorded configuration cannot be reproduced on the available Spark. No historical reproduction is implied.</w:t>
      </w:r>
    </w:p>
    <w:p>
      <w:pPr/>
      <w:r>
        <w:t>Locations refer to the final clean manuscript rendered on 23 October 2026. Each locator gives the page, section, opening text and Word bookmark. A bookmark such as p15 or p77 is a paragraph identifier, not page 15 or page 77; actual pages appear separately. Pagination may shift in another Word installation.</w:t>
      </w:r>
    </w:p>
    <w:p>
      <w:pPr/>
      <w:r>
        <w:t>The third review priority recap repeats its major requests. All actionable subrequests, the opening highlighting issue and the second review’s five major comments are listed below. Positive assessments and descriptive summaries need no corrective action. No first-review original was supplied. Completed wording changes are distinguished from missing human or experimental evidence.</w:t>
      </w:r>
    </w:p>
    <w:p>
      <w:pPr>
        <w:pStyle w:val="Heading1"/>
      </w:pPr>
      <w:r>
        <w:t>3-M1 Title abstract contribution and scope</w:t>
      </w:r>
    </w:p>
    <w:p>
      <w:pPr/>
      <w:r>
        <w:t>Status: Completed text revision.</w:t>
      </w:r>
    </w:p>
    <w:p>
      <w:pPr/>
      <w:r>
        <w:t>Reframed as an observed-cohort benchmark and source-relative contract audit; no new architecture or unavailable-checkpoint validation claim.</w:t>
      </w:r>
    </w:p>
    <w:p>
      <w:pPr/>
      <w:r>
        <w:t>Manuscript locations: p. 1, Front matter, opening ‘Glucose Forecasting Across Retrospective Cohorts and St…’ [Word bookmark p1]; p. 1, Front matter, opening ‘Abstract: This retrospective benchmark compares glucose…’ [Word bookmark p5]; p. 1, 1. Introduction, opening ‘The primary DDATSHR and secondary DiaData analyses deve…’ [Word bookmark p10]; p. 2, 1.1 Relationship to prior work and new contributions, opening ‘The contribution is an observed-data benchmark that cou…’ [Word bookmark p13].</w:t>
      </w:r>
    </w:p>
    <w:p>
      <w:pPr>
        <w:pStyle w:val="Heading1"/>
      </w:pPr>
      <w:r>
        <w:t>3-M2 Unfair Chronos comparison</w:t>
      </w:r>
    </w:p>
    <w:p>
      <w:pPr/>
      <w:r>
        <w:t>Status: Completed by permitted removal.</w:t>
      </w:r>
    </w:p>
    <w:p>
      <w:pPr/>
      <w:r>
        <w:t>Removed performance comparison and panel; historical outputs preserved. Related-work citations make no matched performance claim.</w:t>
      </w:r>
    </w:p>
    <w:p>
      <w:pPr/>
      <w:r>
        <w:t>Manuscript locations: p. 2, 2.1 CGM-based glucose prediction, opening ‘GlucoFM-Bench [10] and Chronos-2 [11] provide context f…’ [Word bookmark p20]; p. 7, 5.5 Matched reduced-input and additional evaluation protocols, opening ‘The primary protocol was not independently preregistere…’ [Word bookmark p77]; p. 15, 7.6 Frozen glucose-only transfer and RF sensitivity, opening ‘Table 7 and Figure 7 summarize frozen glucose-only tran…’ [Word bookmark p143]; p. 16, 7.6 Frozen glucose-only transfer and RF sensitivity, opening ‘Figure 7. Additional descriptive evidence from saved re…’ [Word bookmark p145]; p. 19, 8.1 Limitations, opening ‘Between-person shift, overlapping training folds and sm…’ [Word bookmark p165].</w:t>
      </w:r>
    </w:p>
    <w:p>
      <w:pPr>
        <w:pStyle w:val="Heading1"/>
      </w:pPr>
      <w:r>
        <w:t>3-M3a Copy-task design and deterministic advantage</w:t>
      </w:r>
    </w:p>
    <w:p>
      <w:pPr/>
      <w:r>
        <w:t>Status: Completed design clarification; usefulness unresolved.</w:t>
      </w:r>
    </w:p>
    <w:p>
      <w:pPr/>
      <w:r>
        <w:t>The supplied-field task structurally favors rendering. Conclusions concern contract reliability, not the value of unrestricted explanation.</w:t>
      </w:r>
    </w:p>
    <w:p>
      <w:pPr/>
      <w:r>
        <w:t>Manuscript locations: p. 2, 1.1 Relationship to prior work and new contributions, opening ‘The contribution is an observed-data benchmark that cou…’ [Word bookmark p13]; p. 18, 8. Discussion, opening ‘Qwen accepted 103–111/111 completions across the eight …’ [Word bookmark p160]; p. 19, 8. Discussion, opening ‘Potential future benefits include adapting explanations…’ [Word bookmark p162].</w:t>
      </w:r>
    </w:p>
    <w:p>
      <w:pPr>
        <w:pStyle w:val="Heading1"/>
      </w:pPr>
      <w:r>
        <w:t>3-M3b Separate direction calculation from preservation</w:t>
      </w:r>
    </w:p>
    <w:p>
      <w:pPr/>
      <w:r>
        <w:t>Status: Completed new Qwen experiment.</w:t>
      </w:r>
    </w:p>
    <w:p>
      <w:pPr/>
      <w:r>
        <w:t>Supplied/calculated direction crossed with shot count and decoding. All 111 cases per arm retained. The current manuscript uses Qwen as its primary generation evidence.</w:t>
      </w:r>
    </w:p>
    <w:p>
      <w:pPr/>
      <w:r>
        <w:t>Manuscript locations: p. 7, 6.1 Comparator rationale and generation protocol, opening ‘The post-review experiment used NVIDIA Qwen3.8-Flash-Ne…’ [Word bookmark qwen_v4_methods]; p. 17, 7.8 Qwen factorial effects, opening ‘The post-review comparison used the 24-case/eight-perso…’ [Word bookmark qwen_v4_results]; p. 17, 7.8 Qwen factorial effects, opening ‘Table 9. Exploratory Qwen factor contrasts, averaging o…’ [Word bookmark table9_caption].</w:t>
      </w:r>
    </w:p>
    <w:p>
      <w:pPr>
        <w:pStyle w:val="Heading1"/>
      </w:pPr>
      <w:r>
        <w:t>3-M3c Guided schema decoding</w:t>
      </w:r>
    </w:p>
    <w:p>
      <w:pPr/>
      <w:r>
        <w:t>Status: Completed new Qwen control.</w:t>
      </w:r>
    </w:p>
    <w:p>
      <w:pPr/>
      <w:r>
        <w:t>Strict schema arm, pinned weights, configured backend and empirical enforcement probe recorded; schema does not encode correct numeric answers.</w:t>
      </w:r>
    </w:p>
    <w:p>
      <w:pPr/>
      <w:r>
        <w:t>Manuscript locations: p. 7, 6.1 Comparator rationale and generation protocol, opening ‘The post-review experiment used NVIDIA Qwen3.8-Flash-Ne…’ [Word bookmark qwen_v4_methods]; p. 17, 7.8 Qwen factorial effects, opening ‘The post-review comparison used the 24-case/eight-perso…’ [Word bookmark qwen_v4_results]; p. 17, 7.8 Qwen factorial effects, opening ‘Table 9. Exploratory Qwen factor contrasts, averaging o…’ [Word bookmark table9_caption].</w:t>
      </w:r>
    </w:p>
    <w:p>
      <w:pPr>
        <w:pStyle w:val="Heading1"/>
      </w:pPr>
      <w:r>
        <w:t>3-M3d Explain roughly 27 seconds and four H200 practicality</w:t>
      </w:r>
    </w:p>
    <w:p>
      <w:pPr/>
      <w:r>
        <w:t>Status: Partly addressed; causal latency and deployment evidence absent.</w:t>
      </w:r>
    </w:p>
    <w:p>
      <w:pPr/>
      <w:r>
        <w:t>The historical raw timing requests were not recovered, so their numerical timings are removed. Loaded Qwen requests are reported with explicit scope and first/remaining summaries; cold-start, causal decomposition and clinical installation costs remain unmeasured.</w:t>
      </w:r>
    </w:p>
    <w:p>
      <w:pPr/>
      <w:r>
        <w:t>Manuscript locations: p. 19, 8. Discussion, opening ‘Potential future benefits include adapting explanations…’ [Word bookmark p162]; p. 16, 7.7 Loaded-model Qwen request timing, opening ‘Qwen requests ran sequentially with case-specific rotat…’ [Word bookmark p149]; p. 16, 7.7 Loaded-model Qwen request timing, opening ‘Table 8. Qwen loaded-model client request timing (secon…’ [Word bookmark p150].</w:t>
      </w:r>
    </w:p>
    <w:p>
      <w:pPr>
        <w:pStyle w:val="Heading1"/>
      </w:pPr>
      <w:r>
        <w:t>3-M3e Human understanding and usefulness</w:t>
      </w:r>
    </w:p>
    <w:p>
      <w:pPr/>
      <w:r>
        <w:t>Status: Unresolved evidence limitation; explicitly disclosed.</w:t>
      </w:r>
    </w:p>
    <w:p>
      <w:pPr/>
      <w:r>
        <w:t>No clinician/patient ratings or clinical benefit are invented. A blinded counterbalanced comparison is proposed, not reported as performed.</w:t>
      </w:r>
    </w:p>
    <w:p>
      <w:pPr/>
      <w:r>
        <w:t>Manuscript locations: p. 19, 8. Discussion, opening ‘Potential future benefits include adapting explanations…’ [Word bookmark p162]; p. 19, 8.1 Limitations, opening ‘Contract preservation, clinical usefulness and live ope…’ [Word bookmark p166]; p. 19, 9. Conclusions and Future Work, opening ‘Deterministic rendering accepted 111/111 test cases. Qw…’ [Word bookmark p169].</w:t>
      </w:r>
    </w:p>
    <w:p>
      <w:pPr>
        <w:pStyle w:val="Heading1"/>
      </w:pPr>
      <w:r>
        <w:t>3-M4a State position on prior article provenance</w:t>
      </w:r>
    </w:p>
    <w:p>
      <w:pPr/>
      <w:r>
        <w:t>Status: Completed transparent disclosure.</w:t>
      </w:r>
    </w:p>
    <w:p>
      <w:pPr/>
      <w:r>
        <w:t>Unavailable historical checkpoints/predictions and unsupported PPG pathway are stated; current findings do not validate earlier accuracy.</w:t>
      </w:r>
    </w:p>
    <w:p>
      <w:pPr/>
      <w:r>
        <w:t>Manuscript locations: p. 1, 1.1 Relationship to prior work and new contributions, opening ‘This study follows an earlier GlucoSense publication [3…’ [Word bookmark p12]; p. 9, 7.1 Relationship to the published OhioT1DM study, opening ‘The original article [3] remains the contextual predece…’ [Word bookmark p98].</w:t>
      </w:r>
    </w:p>
    <w:p>
      <w:pPr>
        <w:pStyle w:val="Heading1"/>
      </w:pPr>
      <w:r>
        <w:t>3-M4b Notify editorial board or assess correction</w:t>
      </w:r>
    </w:p>
    <w:p>
      <w:pPr/>
      <w:r>
        <w:t>Status: Unresolved author and editorial action.</w:t>
      </w:r>
    </w:p>
    <w:p>
      <w:pPr/>
      <w:r>
        <w:t>No correction, editorial determination or outbound correspondence is claimed. Authors must decide the appropriate action.</w:t>
      </w:r>
    </w:p>
    <w:p>
      <w:pPr/>
      <w:r>
        <w:t>Manuscript locations: p. 9, 7.1 Relationship to the published OhioT1DM study, opening ‘The original article [3] remains the contextual predece…’ [Word bookmark p98].</w:t>
      </w:r>
    </w:p>
    <w:p>
      <w:pPr>
        <w:pStyle w:val="Heading1"/>
      </w:pPr>
      <w:r>
        <w:t>3-M5a Full Stack with three validation participants</w:t>
      </w:r>
    </w:p>
    <w:p>
      <w:pPr/>
      <w:r>
        <w:t>Status: Completed computational sensitivity with qualification.</w:t>
      </w:r>
    </w:p>
    <w:p>
      <w:pPr/>
      <w:r>
        <w:t>690 fits cover five members, 46 outer participants and three seeds; validation-only weights. Changed training size and execution environment prevent attribution solely to validation count.</w:t>
      </w:r>
    </w:p>
    <w:p>
      <w:pPr/>
      <w:r>
        <w:t>Manuscript locations: p. 17, 7.9 Full Stack sensitivity with three validation participants, opening ‘All five Stack members were fitted with three inner val…’ [Word bookmark stack_v4_results]; p. 18, 7.9 Full Stack sensitivity with three validation participants, opening ‘Table 10. Full three-validator Stack sensitivity. MAE a…’ [Word bookmark table10_caption]; p. 19, 8.1 Limitations, opening ‘Between-person shift, overlapping training folds and sm…’ [Word bookmark p165].</w:t>
      </w:r>
    </w:p>
    <w:p>
      <w:pPr>
        <w:pStyle w:val="Heading1"/>
      </w:pPr>
      <w:r>
        <w:t>3-M5b MCID and restrained significance</w:t>
      </w:r>
    </w:p>
    <w:p>
      <w:pPr/>
      <w:r>
        <w:t>Status: Completed claim revision; MCID absent.</w:t>
      </w:r>
    </w:p>
    <w:p>
      <w:pPr/>
      <w:r>
        <w:t>No retrospective MCID is invented; approximately 1 mg/dL primary benefit is cohort-specific, with statistical and clinical meaning separated.</w:t>
      </w:r>
    </w:p>
    <w:p>
      <w:pPr/>
      <w:r>
        <w:t>Manuscript locations: p. 19, 9. Conclusions and Future Work, opening ‘This retrospective benchmark compares established gluco…’ [Word bookmark p168]; p. 18, 7.9 Full Stack sensitivity with three validation participants, opening ‘Table 10. Full three-validator Stack sensitivity. MAE a…’ [Word bookmark table10_caption].</w:t>
      </w:r>
    </w:p>
    <w:p>
      <w:pPr>
        <w:pStyle w:val="Heading1"/>
      </w:pPr>
      <w:r>
        <w:t>3-M6a Discuss small HR deterioration</w:t>
      </w:r>
    </w:p>
    <w:p>
      <w:pPr/>
      <w:r>
        <w:t>Status: Completed interpretation.</w:t>
      </w:r>
    </w:p>
    <w:p>
      <w:pPr/>
      <w:r>
        <w:t>Reports +0.22 mg/dL and interval, consistent RF sensitivity direction, and possible overfitting/selection without causal attribution or adjusted significance claim.</w:t>
      </w:r>
    </w:p>
    <w:p>
      <w:pPr/>
      <w:r>
        <w:t>Manuscript locations: p. 18, 8. Discussion, opening ‘The matched analysis supports a modest, cohort-specific…’ [Word bookmark p154]; p. 15, 7.6 Frozen glucose-only transfer and RF sensitivity, opening ‘Table 7 and Figure 7 summarize frozen glucose-only tran…’ [Word bookmark p143].</w:t>
      </w:r>
    </w:p>
    <w:p>
      <w:pPr>
        <w:pStyle w:val="Heading1"/>
      </w:pPr>
      <w:r>
        <w:t>3-M6b Extend HR ablation to best neural model</w:t>
      </w:r>
    </w:p>
    <w:p>
      <w:pPr/>
      <w:r>
        <w:t>Status: Completed saved-summary analysis; raw neural reproduction absent.</w:t>
      </w:r>
    </w:p>
    <w:p>
      <w:pPr/>
      <w:r>
        <w:t>Analyzed all three saved neural configurations with separate 18-test family; TFT selection was post hoc. No new raw neural fit reproduction or equivalence claim.</w:t>
      </w:r>
    </w:p>
    <w:p>
      <w:pPr/>
      <w:r>
        <w:t>Manuscript locations: p. 15, 7.6 Frozen glucose-only transfer and RF sensitivity, opening ‘An exploratory matched neural HR analysis used the save…’ [Word bookmark p143_addition0].</w:t>
      </w:r>
    </w:p>
    <w:p>
      <w:pPr>
        <w:pStyle w:val="Heading1"/>
      </w:pPr>
      <w:r>
        <w:t>3-m1 18 source IDs versus 17 eligible people</w:t>
      </w:r>
    </w:p>
    <w:p>
      <w:pPr/>
      <w:r>
        <w:t>Status: Completed source audit.</w:t>
      </w:r>
    </w:p>
    <w:p>
      <w:pPr/>
      <w:r>
        <w:t>Participant 973 has source rows but no numeric glucose in selected original fields; Table 1 identifies 24 original source participants.</w:t>
      </w:r>
    </w:p>
    <w:p>
      <w:pPr/>
      <w:r>
        <w:t>Manuscript locations: p. 5, 4.3 Cohort retention and matched eligibility, opening ‘The primary analysis retained 17 DDATSHR participants (…’ [Word bookmark p53]; p. 5, 4.3 Cohort retention and matched eligibility, opening ‘Table 1. Source participants, retained participants and…’ [Word bookmark p54].</w:t>
      </w:r>
    </w:p>
    <w:p>
      <w:pPr>
        <w:pStyle w:val="Heading1"/>
      </w:pPr>
      <w:r>
        <w:t>3-m2 Repeated 94.2 percent coverage</w:t>
      </w:r>
    </w:p>
    <w:p>
      <w:pPr/>
      <w:r>
        <w:t>Status: Completed raw verification.</w:t>
      </w:r>
    </w:p>
    <w:p>
      <w:pPr/>
      <w:r>
        <w:t>138 participant-horizon checks match reconstructed seed-averaged RF predictions; unrounded macro values and pooled integer counts are explicit.</w:t>
      </w:r>
    </w:p>
    <w:p>
      <w:pPr/>
      <w:r>
        <w:t>Manuscript locations: p. 14, 7.4 Participant-level effects and uncertainty, opening ‘RF interval coverage is the equal-participant mean of p…’ [Word bookmark p133].</w:t>
      </w:r>
    </w:p>
    <w:p>
      <w:pPr>
        <w:pStyle w:val="Heading1"/>
      </w:pPr>
      <w:r>
        <w:t>3-m3 AZT1D grid resolution</w:t>
      </w:r>
    </w:p>
    <w:p>
      <w:pPr/>
      <w:r>
        <w:t>Status: Completed text revision.</w:t>
      </w:r>
    </w:p>
    <w:p>
      <w:pPr/>
      <w:r>
        <w:t>Explicit observed-only 15-minute grid and nine-boundary history.</w:t>
      </w:r>
    </w:p>
    <w:p>
      <w:pPr/>
      <w:r>
        <w:t>Manuscript locations: p. 5, 4.3 Cohort retention and matched eligibility, opening ‘For an additional frozen-model test, AZT1D version 1 [2…’ [Word bookmark p57].</w:t>
      </w:r>
    </w:p>
    <w:p>
      <w:pPr>
        <w:pStyle w:val="Heading1"/>
      </w:pPr>
      <w:r>
        <w:t>3-m4 Comparability with five-minute literature</w:t>
      </w:r>
    </w:p>
    <w:p>
      <w:pPr/>
      <w:r>
        <w:t>Status: Completed limitation.</w:t>
      </w:r>
    </w:p>
    <w:p>
      <w:pPr/>
      <w:r>
        <w:t>Sampling, eligibility and physiological lead-time differences constrain cross-paper comparison.</w:t>
      </w:r>
    </w:p>
    <w:p>
      <w:pPr/>
      <w:r>
        <w:t>Manuscript locations: p. 19, 8.1 Limitations, opening ‘Between-person shift, overlapping training folds and sm…’ [Word bookmark p165].</w:t>
      </w:r>
    </w:p>
    <w:p>
      <w:pPr>
        <w:pStyle w:val="Heading1"/>
      </w:pPr>
      <w:r>
        <w:t>3-m5 Main-text hypoglycemia sensitivity and precision</w:t>
      </w:r>
    </w:p>
    <w:p>
      <w:pPr/>
      <w:r>
        <w:t>Status: Completed raw verification and reporting.</w:t>
      </w:r>
    </w:p>
    <w:p>
      <w:pPr/>
      <w:r>
        <w:t>Both cohorts, all horizons, TP/FP/FN and denominators are reported. Target-level results are not episode detection.</w:t>
      </w:r>
    </w:p>
    <w:p>
      <w:pPr/>
      <w:r>
        <w:t>Manuscript locations: p. 14, 7.4 Participant-level effects and uncertainty, opening ‘For RF predictions of observed glucose below 70 mg/dL, …’ [Word bookmark p133_addition0].</w:t>
      </w:r>
    </w:p>
    <w:p>
      <w:pPr>
        <w:pStyle w:val="Heading1"/>
      </w:pPr>
      <w:r>
        <w:t>3-m6 Replace untested H3 with exploratory question</w:t>
      </w:r>
    </w:p>
    <w:p>
      <w:pPr/>
      <w:r>
        <w:t>Status: Completed terminology revision.</w:t>
      </w:r>
    </w:p>
    <w:p>
      <w:pPr/>
      <w:r>
        <w:t>Generation question is exploratory, not a confirmatory hypothesis.</w:t>
      </w:r>
    </w:p>
    <w:p>
      <w:pPr/>
      <w:r>
        <w:t>Manuscript locations: p. 2, 1.2 Motivation, opening ‘H1 tests the added predictive information of HR in RF o…’ [Word bookmark p15].</w:t>
      </w:r>
    </w:p>
    <w:p>
      <w:pPr>
        <w:pStyle w:val="Heading1"/>
      </w:pPr>
      <w:r>
        <w:t>3-m7 Primary preregistration and v3 chronology</w:t>
      </w:r>
    </w:p>
    <w:p>
      <w:pPr/>
      <w:r>
        <w:t>Status: Completed protocol disclosure.</w:t>
      </w:r>
    </w:p>
    <w:p>
      <w:pPr/>
      <w:r>
        <w:t>Primary protocol not independently preregistered; v3 followed known primary results and preceded its own analyses.</w:t>
      </w:r>
    </w:p>
    <w:p>
      <w:pPr/>
      <w:r>
        <w:t>Manuscript locations: p. 7, 5.5 Matched reduced-input and additional evaluation protocols, opening ‘The primary protocol was not independently preregistere…’ [Word bookmark p77].</w:t>
      </w:r>
    </w:p>
    <w:p>
      <w:pPr>
        <w:pStyle w:val="Heading1"/>
      </w:pPr>
      <w:r>
        <w:t>3-m8a Reduce repetitive defensive caveats</w:t>
      </w:r>
    </w:p>
    <w:p>
      <w:pPr/>
      <w:r>
        <w:t>Status: Completed focused editorial pass.</w:t>
      </w:r>
    </w:p>
    <w:p>
      <w:pPr/>
      <w:r>
        <w:t>Opening and conclusion tightened; methodological distinctions retained where needed and general limits consolidated in Section 8.1.</w:t>
      </w:r>
    </w:p>
    <w:p>
      <w:pPr/>
      <w:r>
        <w:t>Manuscript locations: p. 1, 1. Introduction, opening ‘Continuous glucose monitoring supports forecasting futu…’ [Word bookmark p8]; p. 1, 1. Introduction, opening ‘The primary DDATSHR and secondary DiaData analyses deve…’ [Word bookmark p10]; p. 2, 1.1 Relationship to prior work and new contributions, opening ‘The contribution is an observed-data benchmark that cou…’ [Word bookmark p13]; p. 18, 8. Discussion, opening ‘Qwen accepted 103–111/111 completions across the eight …’ [Word bookmark p160]; p. 19, 8.1 Limitations, opening ‘8.1 Limitations…’ [Word bookmark p163]; p. 19, 8.1 Limitations, opening ‘The primary participant samples are small: 17 in DDATSH…’ [Word bookmark p164]; p. 19, 8.1 Limitations, opening ‘Between-person shift, overlapping training folds and sm…’ [Word bookmark p165]; p. 19, 8.1 Limitations, opening ‘Contract preservation, clinical usefulness and live ope…’ [Word bookmark p166].</w:t>
      </w:r>
    </w:p>
    <w:p>
      <w:pPr>
        <w:pStyle w:val="Heading1"/>
      </w:pPr>
      <w:r>
        <w:t>3-m8b Remove revision-history prose</w:t>
      </w:r>
    </w:p>
    <w:p>
      <w:pPr/>
      <w:r>
        <w:t>Status: Completed editorial sweep.</w:t>
      </w:r>
    </w:p>
    <w:p>
      <w:pPr/>
      <w:r>
        <w:t>Removed the cited process phrases and updated obsolete RF-only sensitivity wording; historical evidence preserved.</w:t>
      </w:r>
    </w:p>
    <w:p>
      <w:pPr/>
      <w:r>
        <w:t>Manuscript locations: p. 5, 4.3 Cohort retention and matched eligibility, opening ‘The primary analysis retained 17 DDATSHR participants (…’ [Word bookmark p53]; p. 5, 4.3 Cohort retention and matched eligibility, opening ‘The primary DDATSHR cohort includes both Abbott and Med…’ [Word bookmark p56]; p. 7, 5.5 Matched reduced-input and additional evaluation protocols, opening ‘The same nine-boundary CGM/HR/time representation is us…’ [Word bookmark p76]; p. 11, 7.3 Participant heterogeneity, opening ‘DDATSHR RF 30-minute participant RMSE ranged from 18.97…’ [Word bookmark p109]; p. 15, 7.6 Frozen glucose-only transfer and RF sensitivity, opening ‘Table 7 and Figure 7 summarize frozen glucose-only tran…’ [Word bookmark p143]; p. 18, 8. Discussion, opening ‘A five-minute complete-case requirement on a naturally …’ [Word bookmark p156]; p. 20, Supplementary Materials, opening ‘Supplementary File S1 is available at https://github.co…’ [Word bookmark p171].</w:t>
      </w:r>
    </w:p>
    <w:p>
      <w:pPr>
        <w:pStyle w:val="Heading1"/>
      </w:pPr>
      <w:r>
        <w:t>3-m9a Human-readable figure labels</w:t>
      </w:r>
    </w:p>
    <w:p>
      <w:pPr/>
      <w:r>
        <w:t>Status: Completed figure replacements and page QA.</w:t>
      </w:r>
    </w:p>
    <w:p>
      <w:pPr/>
      <w:r>
        <w:t>Figures use readable model/cohort labels. Figure 5 was regenerated from recovered seed-averaged RF raw predictions.</w:t>
      </w:r>
    </w:p>
    <w:p>
      <w:pPr/>
      <w:r>
        <w:t>Manuscript locations: p. 3, 3.1 Evaluated workflow within the GlucoSense framework, opening ‘Figure 1. Primary retrospective workflow. After tempora…’ [Word bookmark p34]; p. 9, 6.3 Evaluation and results, opening ‘Figure 2. Left: complete-contract acceptance in eight Q…’ [Word bookmark p95]; p. 10, 7.2 Patient-held-out forecasting within DDATSHR and DiaData, opening ‘Figure 3. Subject-macro MAE for eight selected primary …’ [Word bookmark p105]; p. 16, 7.6 Frozen glucose-only transfer and RF sensitivity, opening ‘Figure 7. Additional descriptive evidence from saved re…’ [Word bookmark p145].</w:t>
      </w:r>
    </w:p>
    <w:p>
      <w:pPr>
        <w:pStyle w:val="Heading1"/>
      </w:pPr>
      <w:r>
        <w:t>3-m9b Zero bars and denominators in Figure 2</w:t>
      </w:r>
    </w:p>
    <w:p>
      <w:pPr/>
      <w:r>
        <w:t>Status: Completed annotated figure.</w:t>
      </w:r>
    </w:p>
    <w:p>
      <w:pPr/>
      <w:r>
        <w:t>Zero rejection rates and n are visible; valid controls and corrupted-source cases remain distinct.</w:t>
      </w:r>
    </w:p>
    <w:p>
      <w:pPr/>
      <w:r>
        <w:t>Manuscript locations: p. 9, 6.3 Evaluation and results, opening ‘Figure 2. Left: complete-contract acceptance in eight Q…’ [Word bookmark p95].</w:t>
      </w:r>
    </w:p>
    <w:p>
      <w:pPr>
        <w:pStyle w:val="Heading1"/>
      </w:pPr>
      <w:r>
        <w:t>3-m9c Remove genuine TreeSHAP wording</w:t>
      </w:r>
    </w:p>
    <w:p>
      <w:pPr/>
      <w:r>
        <w:t>Status: Completed wording revision.</w:t>
      </w:r>
    </w:p>
    <w:p>
      <w:pPr/>
      <w:r>
        <w:t>Workflow wording removed; additive RF-specific attribution retained.</w:t>
      </w:r>
    </w:p>
    <w:p>
      <w:pPr/>
      <w:r>
        <w:t>Manuscript locations: p. 3, 3.1 Evaluated workflow within the GlucoSense framework, opening ‘Figure 1. Primary retrospective workflow. After tempora…’ [Word bookmark p34]; p. 8, 6.2 Contract validation and source-corruption challenge, opening ‘The validator requires all declared fields and compares…’ [Word bookmark p84].</w:t>
      </w:r>
    </w:p>
    <w:p>
      <w:pPr>
        <w:pStyle w:val="Heading1"/>
      </w:pPr>
      <w:r>
        <w:t>3-m10a AI scope and missing build identifier</w:t>
      </w:r>
    </w:p>
    <w:p>
      <w:pPr/>
      <w:r>
        <w:t>Status: Completed factual disclosure.</w:t>
      </w:r>
    </w:p>
    <w:p>
      <w:pPr/>
      <w:r>
        <w:t>October runtime metadata recorded; September hosted build was not recorded. Agent checks are distinguished from independent human review.</w:t>
      </w:r>
    </w:p>
    <w:p>
      <w:pPr/>
      <w:r>
        <w:t>Manuscript locations: p. 20, Acknowledgments, opening ‘The authors acknowledge the creators and maintainers of…’ [Word bookmark p178].</w:t>
      </w:r>
    </w:p>
    <w:p>
      <w:pPr>
        <w:pStyle w:val="Heading1"/>
      </w:pPr>
      <w:r>
        <w:t>3-m10b CRediT attribution and independent author verification</w:t>
      </w:r>
    </w:p>
    <w:p>
      <w:pPr/>
      <w:r>
        <w:t>Status: Unresolved author confirmation.</w:t>
      </w:r>
    </w:p>
    <w:p>
      <w:pPr/>
      <w:r>
        <w:t>No author rerun, independent numerical verification or contribution assignment is invented.</w:t>
      </w:r>
    </w:p>
    <w:p>
      <w:pPr/>
      <w:r>
        <w:t>Manuscript locations: p. 20, Supplementary Materials, opening ‘Author Contributions: The author contribution statement…’ [Word bookmark p172]; p. 20, Acknowledgments, opening ‘The authors acknowledge the creators and maintainers of…’ [Word bookmark p178].</w:t>
      </w:r>
    </w:p>
    <w:p>
      <w:pPr>
        <w:pStyle w:val="Heading1"/>
      </w:pPr>
      <w:r>
        <w:t>3-m10c Target journal AI-policy compliance</w:t>
      </w:r>
    </w:p>
    <w:p>
      <w:pPr/>
      <w:r>
        <w:t>Status: Unresolved target-journal and author assessment.</w:t>
      </w:r>
    </w:p>
    <w:p>
      <w:pPr/>
      <w:r>
        <w:t>No target-specific compliance certification is claimed; disclosure must be checked when a target journal is selected.</w:t>
      </w:r>
    </w:p>
    <w:p>
      <w:pPr/>
      <w:r>
        <w:t>Manuscript locations: p. 20, Acknowledgments, opening ‘The authors acknowledge the creators and maintainers of…’ [Word bookmark p178].</w:t>
      </w:r>
    </w:p>
    <w:p>
      <w:pPr>
        <w:pStyle w:val="Heading1"/>
      </w:pPr>
      <w:r>
        <w:t>3-m11 Label key preprints</w:t>
      </w:r>
    </w:p>
    <w:p>
      <w:pPr/>
      <w:r>
        <w:t>Status: Reference identities checked; supplied prior DOI unresolved.</w:t>
      </w:r>
    </w:p>
    <w:p>
      <w:pPr/>
      <w:r>
        <w:t>All 34 reference identities were checked against primary metadata, original papers, repository records or the supplied prior-article PDF. Preprints remain identified as such. Reference 27 now cites the exact Qwen repository revision. The prior article’s supplied DOI failed resolution; verified KCI metadata replaces that DOI. Access outcomes and remaining metadata limitations are recorded in the supplement.</w:t>
      </w:r>
    </w:p>
    <w:p>
      <w:pPr/>
      <w:r>
        <w:t>Manuscript locations: p. 21, References, opening ‘10. Lu, B.; Liang, Z.; Pontius, R.; Tang, S.; Prioleau,…’ [Word bookmark p193]; p. 21, References, opening ‘11. Ansari, A.F.; et al. Chronos-2: From Univariate to …’ [Word bookmark p194]; p. 21, References, opening ‘14. Gupta, V.; Grensing, F.; Cinar, B.; van den Boom, L…’ [Word bookmark p197].</w:t>
      </w:r>
    </w:p>
    <w:p>
      <w:pPr>
        <w:pStyle w:val="Heading1"/>
      </w:pPr>
      <w:r>
        <w:t>3-opening Near-global highlighting</w:t>
      </w:r>
    </w:p>
    <w:p>
      <w:pPr/>
      <w:r>
        <w:t>Status: Completed selective Word highlighting.</w:t>
      </w:r>
    </w:p>
    <w:p>
      <w:pPr/>
      <w:r>
        <w:t>Yellow marks inserted/replaced words against actual second-review DOCX; unchanged text and tables remain unhighlighted. Deletions are documented in the change map.</w:t>
      </w:r>
    </w:p>
    <w:p>
      <w:pPr/>
      <w:r>
        <w:t>Manuscript locations: p. 1, Front matter, opening ‘Glucose Forecasting Across Retrospective Cohorts and St…’ [Word bookmark p1]; p. 1, Front matter, opening ‘Abstract: This retrospective benchmark compares glucose…’ [Word bookmark p5]; p. 2, 1.1 Relationship to prior work and new contributions, opening ‘The contribution is an observed-data benchmark that cou…’ [Word bookmark p13].</w:t>
      </w:r>
    </w:p>
    <w:p>
      <w:pPr>
        <w:pStyle w:val="Heading1"/>
      </w:pPr>
      <w:r>
        <w:t>2-M1 Validation terminology</w:t>
      </w:r>
    </w:p>
    <w:p>
      <w:pPr/>
      <w:r>
        <w:t>Status: Completed text revision.</w:t>
      </w:r>
    </w:p>
    <w:p>
      <w:pPr/>
      <w:r>
        <w:t>Within-cohort development and held-out evaluation distinguished from frozen AZT1D transfer; no validation of unavailable original weights.</w:t>
      </w:r>
    </w:p>
    <w:p>
      <w:pPr/>
      <w:r>
        <w:t>Manuscript locations: p. 1, Front matter, opening ‘Glucose Forecasting Across Retrospective Cohorts and St…’ [Word bookmark p1]; p. 1, Front matter, opening ‘Abstract: This retrospective benchmark compares glucose…’ [Word bookmark p5]; p. 1, 1. Introduction, opening ‘The primary DDATSHR and secondary DiaData analyses deve…’ [Word bookmark p10]; p. 1, 1.1 Relationship to prior work and new contributions, opening ‘This study follows an earlier GlucoSense publication [3…’ [Word bookmark p12]; p. 5, 4.3 Cohort retention and matched eligibility, opening ‘For an additional frozen-model test, AZT1D version 1 [2…’ [Word bookmark p57].</w:t>
      </w:r>
    </w:p>
    <w:p>
      <w:pPr>
        <w:pStyle w:val="Heading1"/>
      </w:pPr>
      <w:r>
        <w:t>2-M2 Clinical significance and usefulness</w:t>
      </w:r>
    </w:p>
    <w:p>
      <w:pPr/>
      <w:r>
        <w:t>Status: Completed scope revision; human evidence absent.</w:t>
      </w:r>
    </w:p>
    <w:p>
      <w:pPr/>
      <w:r>
        <w:t>Contract consistency is separated from interpretability, understanding, trust, clinical safety and benefit.</w:t>
      </w:r>
    </w:p>
    <w:p>
      <w:pPr/>
      <w:r>
        <w:t>Manuscript locations: p. 18, 8. Discussion, opening ‘Qwen accepted 103–111/111 completions across the eight …’ [Word bookmark p160]; p. 19, 8. Discussion, opening ‘Potential future benefits include adapting explanations…’ [Word bookmark p162]; p. 19, 8.1 Limitations, opening ‘Contract preservation, clinical usefulness and live ope…’ [Word bookmark p166]; p. 19, 9. Conclusions and Future Work, opening ‘This retrospective benchmark compares established gluco…’ [Word bookmark p168].</w:t>
      </w:r>
    </w:p>
    <w:p>
      <w:pPr>
        <w:pStyle w:val="Heading1"/>
      </w:pPr>
      <w:r>
        <w:t>2-M3 Small participant sample and generalizability</w:t>
      </w:r>
    </w:p>
    <w:p>
      <w:pPr/>
      <w:r>
        <w:t>Status: Completed limitation; larger sample absent.</w:t>
      </w:r>
    </w:p>
    <w:p>
      <w:pPr/>
      <w:r>
        <w:t>17/29 people, correlated origins, shared folds, no prospective precision target; seeds/windows do not create independent participants.</w:t>
      </w:r>
    </w:p>
    <w:p>
      <w:pPr/>
      <w:r>
        <w:t>Manuscript locations: p. 19, 8.1 Limitations, opening ‘The primary participant samples are small: 17 in DDATSH…’ [Word bookmark p164].</w:t>
      </w:r>
    </w:p>
    <w:p>
      <w:pPr>
        <w:pStyle w:val="Heading1"/>
      </w:pPr>
      <w:r>
        <w:t>2-M4 Real-time claim</w:t>
      </w:r>
    </w:p>
    <w:p>
      <w:pPr/>
      <w:r>
        <w:t>Status: Completed terminology and timing qualification.</w:t>
      </w:r>
    </w:p>
    <w:p>
      <w:pPr/>
      <w:r>
        <w:t>Title has no real-time claim; preloaded processing excludes sensing/network/startup/alert delivery.</w:t>
      </w:r>
    </w:p>
    <w:p>
      <w:pPr/>
      <w:r>
        <w:t>Manuscript locations: p. 1, Front matter, opening ‘Glucose Forecasting Across Retrospective Cohorts and St…’ [Word bookmark p1]; p. 1, 1. Introduction, opening ‘The primary DDATSHR and secondary DiaData analyses deve…’ [Word bookmark p10]; p. 16, 7.7 Loaded-model Qwen request timing, opening ‘Qwen requests ran sequentially with case-specific rotat…’ [Word bookmark p149]; p. 19, 8.1 Limitations, opening ‘Contract preservation, clinical usefulness and live ope…’ [Word bookmark p166].</w:t>
      </w:r>
    </w:p>
    <w:p>
      <w:pPr>
        <w:pStyle w:val="Heading1"/>
      </w:pPr>
      <w:r>
        <w:t>2-M5 Added value of LLM</w:t>
      </w:r>
    </w:p>
    <w:p>
      <w:pPr/>
      <w:r>
        <w:t>Status: Completed negative-result interpretation; human value untested.</w:t>
      </w:r>
    </w:p>
    <w:p>
      <w:pPr/>
      <w:r>
        <w:t>Direct rendering remains sufficient for this contract; free-form explanation benefit remains unevaluated.</w:t>
      </w:r>
    </w:p>
    <w:p>
      <w:pPr/>
      <w:r>
        <w:t>Manuscript locations: p. 18, 8. Discussion, opening ‘Qwen accepted 103–111/111 completions across the eight …’ [Word bookmark p160]; p. 19, 9. Conclusions and Future Work, opening ‘Deterministic rendering accepted 111/111 test cases. Qw…’ [Word bookmark p169].</w:t>
      </w:r>
    </w:p>
    <w:p>
      <w:pPr>
        <w:pStyle w:val="Heading1"/>
      </w:pPr>
      <w:r>
        <w:t>2-followup Captions source corruption and repeated caveats</w:t>
      </w:r>
    </w:p>
    <w:p>
      <w:pPr/>
      <w:r>
        <w:t>Status: Completed clarification.</w:t>
      </w:r>
    </w:p>
    <w:p>
      <w:pPr/>
      <w:r>
        <w:t>The replayed synthetic checker retains all 30 corrupted-source acceptances. Qwen timing scope and figure denominators are explicit.</w:t>
      </w:r>
    </w:p>
    <w:p>
      <w:pPr/>
      <w:r>
        <w:t>Manuscript locations: p. 9, 6.3 Evaluation and results, opening ‘Figure 2. Left: complete-contract acceptance in eight Q…’ [Word bookmark p95]; p. 19, 8. Discussion, opening ‘The checker reduces release of tested contract-inconsis…’ [Word bookmark p161]; p. 19, 8.1 Limitations, opening ‘Contract preservation, clinical usefulness and live ope…’ [Word bookmark p166].</w:t>
      </w:r>
    </w:p>
    <w:p>
      <w:pPr>
        <w:pStyle w:val="Heading1"/>
      </w:pPr>
      <w:r>
        <w:t>author-records Funding consent institutional status and conflicts</w:t>
      </w:r>
    </w:p>
    <w:p>
      <w:pPr/>
      <w:r>
        <w:t>Status: Funding confirmed; other author and institutional decisions open.</w:t>
      </w:r>
    </w:p>
    <w:p>
      <w:pPr/>
      <w:r>
        <w:t>The user confirmed no external funding, and that statement is used. Actual contributions, conflicts, consent wording, institutional status and independent human verification remain unconfirmed.</w:t>
      </w:r>
    </w:p>
    <w:p>
      <w:pPr/>
      <w:r>
        <w:t>Manuscript locations: p. 20, Supplementary Materials, opening ‘Author Contributions: The author contribution statement…’ [Word bookmark p172]; p. 20, Supplementary Materials, opening ‘Funding: This research received no external funding. No…’ [Word bookmark p173]; p. 20, Supplementary Materials, opening ‘Institutional Review Board Statement: This study analyz…’ [Word bookmark p174]; p. 20, Supplementary Materials, opening ‘Informed Consent Statement: This secondary analysis inv…’ [Word bookmark p175]; p. 20, Acknowledgments, opening ‘Conflicts of Interest: The conflict-of-interest declara…’ [Word bookmark p179].</w:t>
      </w:r>
    </w:p>
    <w:p>
      <w:pPr>
        <w:pStyle w:val="Heading1"/>
      </w:pPr>
      <w:r>
        <w:t>new-D Historical DeepSeek evidence and primary-model change</w:t>
      </w:r>
    </w:p>
    <w:p>
      <w:pPr/>
      <w:r>
        <w:t>Status: Historical structured experiment unresolved; Qwen-primary revision completed.</w:t>
      </w:r>
    </w:p>
    <w:p>
      <w:pPr/>
      <w:r>
        <w:t>Searched project files, both full Git histories, relevant local archives and authorized Spark research/backups directories. Older narrative CSVs were found but are not the later structured 111-case experiment. No matching original structured cases/responses were recovered. The exact historical revision has 166.9 GB of weights, beyond Spark physical memory before runtime overhead; recorded TP4 hardware is unavailable. No substitute run is presented as reproduction. Historical drafts and records remain private and unchanged; unauditable DeepSeek counts and timings were removed from the abstract, main comparison and conclusions.</w:t>
      </w:r>
    </w:p>
    <w:p>
      <w:pPr/>
      <w:r>
        <w:t>Manuscript locations: p. 7, 6.1 Comparator rationale and generation protocol, opening ‘Qwen is the primary language model in this revision [27…’ [Word bookmark p82]; p. 1, Front matter, opening ‘Abstract: This retrospective benchmark compares glucose…’ [Word bookmark p5]; p. 18, 8. Discussion, opening ‘Qwen accepted 103–111/111 completions across the eight …’ [Word bookmark p160]; p. 19, 9. Conclusions and Future Work, opening ‘Deterministic rendering accepted 111/111 test cases. Qw…’ [Word bookmark p169].</w:t>
      </w:r>
    </w:p>
    <w:p>
      <w:pPr>
        <w:pStyle w:val="Heading1"/>
      </w:pPr>
      <w:r>
        <w:t>new-Q Independent Qwen and Stack verification</w:t>
      </w:r>
    </w:p>
    <w:p>
      <w:pPr/>
      <w:r>
        <w:t>Status: Completed artifact audit.</w:t>
      </w:r>
    </w:p>
    <w:p>
      <w:pPr/>
      <w:r>
        <w:t>All 888 test and 192 development LLM requests were independently revalidated; saved prompts, schemas, HTTP bodies, participant separation and development examples matched. Acceptance/timing summaries and factor contrasts regenerated. All 690 fit splits and 138 validation-only weight sets passed; 10 predetermined checkpoint samples reproduced exactly on the Spark GPU path. An initial CPU replay differed by up to 0.00576 mg/dL and is retained in the private log; matching the original execution device and batching gave zero maximum difference.</w:t>
      </w:r>
    </w:p>
    <w:p>
      <w:pPr/>
      <w:r>
        <w:t>Manuscript locations: p. 7, 6.1 Comparator rationale and generation protocol, opening ‘The post-review experiment used NVIDIA Qwen3.8-Flash-Ne…’ [Word bookmark qwen_v4_methods]; p. 17, 7.9 Full Stack sensitivity with three validation participants, opening ‘All five Stack members were fitted with three inner val…’ [Word bookmark stack_v4_results].</w:t>
      </w:r>
    </w:p>
    <w:p>
      <w:pPr>
        <w:pStyle w:val="Heading1"/>
      </w:pPr>
      <w:r>
        <w:t>new-S Reviewer-accessible reproducibility materials</w:t>
      </w:r>
    </w:p>
    <w:p>
      <w:pPr/>
      <w:r>
        <w:t>Status: Completed public supplement; case-bearing evidence retained privately.</w:t>
      </w:r>
    </w:p>
    <w:p>
      <w:pPr/>
      <w:r>
        <w:t>Supplementary File S1 supplies executable acquisition, preprocessing, experiment, validation, analysis and figure scripts; pinned dependencies/protocols/model manifests; sanitized per-request decisions/timings; fit and checkpoint audit records; aggregate results and reproduction instructions. Source terms were checked and attribution/noncommercial restrictions documented. Participant-bearing case payloads, raw participant records, credentials and private reviews/correspondence are excluded. Checkpoints and case payloads must be regenerated under source terms; independent human verification is still required.</w:t>
      </w:r>
    </w:p>
    <w:p>
      <w:pPr/>
      <w:r>
        <w:t>Manuscript locations: p. 20, Supplementary Materials, opening ‘Supplementary File S1 is available at https://github.co…’ [Word bookmark p171]; p. 20, Supplementary Materials, opening ‘Data Availability Statement: DDATSHR, DiaData and AZT1D…’ [Word bookmark p176].</w:t>
      </w:r>
    </w:p>
    <w:p>
      <w:pPr>
        <w:pStyle w:val="Heading1"/>
      </w:pPr>
      <w:r>
        <w:t>Remaining evidence and author decisions</w:t>
      </w:r>
    </w:p>
    <w:p>
      <w:pPr/>
      <w:r>
        <w:t>Human usefulness, prior-publication assessment and any correction/editorial communication remain unresolved. No messages were sent. Historical structured DeepSeek evidence and raw historical neural HR predictions remain missing. Loaded Qwen timing is not cold-start or end-to-end deployment timing. Authors must verify results independently, assign actual contributions, confirm conflicts and consent/institutional wording, select the target journal and assess its AI policy. Funding is confirmed as no external funding. No author approval, exemption, conflict declaration or submission readiness is invented.</w:t>
      </w:r>
    </w:p>
    <w:sectPr w:rsidR="00FC693F" w:rsidRPr="0006063C" w:rsidSect="00034616">
      <w:pgSz w:w="12240" w:h="15840"/>
      <w:pgMar w:top="960" w:right="1000" w:bottom="96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