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bookmarkStart w:id="0" w:name="_GoBack"/>
      <w:bookmarkEnd w:id="0"/>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488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2024-12-26T01:10:03Z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