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1fcdb138a0d7bd168d9fc20c15d8cdefd4631ca"/>
    <w:p>
      <w:pPr>
        <w:pStyle w:val="Heading1"/>
      </w:pPr>
      <w:r>
        <w:t xml:space="preserve">🏦 Official Banking-Grade Engineering Checklist</w:t>
      </w:r>
    </w:p>
    <w:p>
      <w:pPr>
        <w:pStyle w:val="BlockText"/>
      </w:pPr>
      <w:r>
        <w:rPr>
          <w:b/>
          <w:bCs/>
        </w:rPr>
        <w:t xml:space="preserve">Purpose</w:t>
      </w:r>
      <w:r>
        <w:t xml:space="preserve">: This checklist is designed as a</w:t>
      </w:r>
      <w:r>
        <w:t xml:space="preserve"> </w:t>
      </w:r>
      <w:r>
        <w:rPr>
          <w:b/>
          <w:bCs/>
        </w:rPr>
        <w:t xml:space="preserve">formal reference</w:t>
      </w:r>
      <w:r>
        <w:t xml:space="preserve"> </w:t>
      </w:r>
      <w:r>
        <w:t xml:space="preserve">when presenting MNbarh (or any financial system) to</w:t>
      </w:r>
      <w:r>
        <w:t xml:space="preserve"> </w:t>
      </w:r>
      <w:r>
        <w:rPr>
          <w:b/>
          <w:bCs/>
        </w:rPr>
        <w:t xml:space="preserve">banks, payment processors, regulators, or auditors</w:t>
      </w:r>
      <w:r>
        <w:t xml:space="preserve">.</w:t>
      </w:r>
      <w:r>
        <w:br/>
      </w:r>
      <w:r>
        <w:t xml:space="preserve">Passing this checklist means the system is</w:t>
      </w:r>
      <w:r>
        <w:t xml:space="preserve"> </w:t>
      </w:r>
      <w:r>
        <w:rPr>
          <w:b/>
          <w:bCs/>
        </w:rPr>
        <w:t xml:space="preserve">bank-grade</w:t>
      </w:r>
      <w:r>
        <w:t xml:space="preserve">, not MVP-grade.</w:t>
      </w:r>
    </w:p>
    <w:p>
      <w:r>
        <w:pict>
          <v:rect style="width:0;height:1.5pt" o:hralign="center" o:hrstd="t" o:hr="t"/>
        </w:pict>
      </w:r>
    </w:p>
    <w:bookmarkStart w:id="22" w:name="ledger-accounting-nonnegotiable"/>
    <w:p>
      <w:pPr>
        <w:pStyle w:val="Heading2"/>
      </w:pPr>
      <w:r>
        <w:t xml:space="preserve">1️⃣ Ledger &amp; Accounting (NON‑NEGOTIABLE)</w:t>
      </w:r>
    </w:p>
    <w:bookmarkStart w:id="20" w:name="ledger-design"/>
    <w:p>
      <w:pPr>
        <w:pStyle w:val="Heading3"/>
      </w:pPr>
      <w:r>
        <w:t xml:space="preserve">Ledger Design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Append-only ledger</w:t>
      </w:r>
      <w:r>
        <w:t xml:space="preserve"> </w:t>
      </w:r>
      <w:r>
        <w:t xml:space="preserve">(no UPDATE / DELETE ever)</w:t>
      </w:r>
    </w:p>
    <w:p>
      <w:pPr>
        <w:pStyle w:val="Compact"/>
        <w:numPr>
          <w:ilvl w:val="0"/>
          <w:numId w:val="1002"/>
        </w:numPr>
      </w:pPr>
      <w:r>
        <w:t xml:space="preserve">Balance is</w:t>
      </w:r>
      <w:r>
        <w:t xml:space="preserve"> </w:t>
      </w:r>
      <w:r>
        <w:rPr>
          <w:b/>
          <w:bCs/>
        </w:rPr>
        <w:t xml:space="preserve">derived</w:t>
      </w:r>
      <w:r>
        <w:t xml:space="preserve">, not stored</w:t>
      </w:r>
    </w:p>
    <w:p>
      <w:pPr>
        <w:pStyle w:val="Compact"/>
        <w:numPr>
          <w:ilvl w:val="0"/>
          <w:numId w:val="1003"/>
        </w:numPr>
      </w:pPr>
      <w:r>
        <w:t xml:space="preserve">Every ledger entry has:</w:t>
      </w:r>
    </w:p>
    <w:p>
      <w:pPr>
        <w:pStyle w:val="Compact"/>
        <w:numPr>
          <w:ilvl w:val="1"/>
          <w:numId w:val="1004"/>
        </w:numPr>
      </w:pPr>
      <w:r>
        <w:t xml:space="preserve">immutable ID</w:t>
      </w:r>
    </w:p>
    <w:p>
      <w:pPr>
        <w:pStyle w:val="Compact"/>
        <w:numPr>
          <w:ilvl w:val="1"/>
          <w:numId w:val="1004"/>
        </w:numPr>
      </w:pPr>
      <w:r>
        <w:t xml:space="preserve">timestamp</w:t>
      </w:r>
    </w:p>
    <w:p>
      <w:pPr>
        <w:pStyle w:val="Compact"/>
        <w:numPr>
          <w:ilvl w:val="1"/>
          <w:numId w:val="1004"/>
        </w:numPr>
      </w:pPr>
      <w:r>
        <w:t xml:space="preserve">reason code (TOPUP, HOLD, RELEASE, REFUND, FEE)</w:t>
      </w:r>
    </w:p>
    <w:p>
      <w:pPr>
        <w:pStyle w:val="Compact"/>
        <w:numPr>
          <w:ilvl w:val="1"/>
          <w:numId w:val="1004"/>
        </w:numPr>
      </w:pPr>
      <w:r>
        <w:t xml:space="preserve">actor (system / admin / gateway)</w:t>
      </w:r>
    </w:p>
    <w:p>
      <w:pPr>
        <w:pStyle w:val="Compact"/>
        <w:numPr>
          <w:ilvl w:val="0"/>
          <w:numId w:val="1005"/>
        </w:numPr>
      </w:pPr>
      <w:r>
        <w:t xml:space="preserve">Database-level protection (triggers / constraints) preventing mutation</w:t>
      </w:r>
    </w:p>
    <w:bookmarkEnd w:id="20"/>
    <w:bookmarkStart w:id="21" w:name="auditability"/>
    <w:p>
      <w:pPr>
        <w:pStyle w:val="Heading3"/>
      </w:pPr>
      <w:r>
        <w:t xml:space="preserve">Auditability</w:t>
      </w:r>
    </w:p>
    <w:p>
      <w:pPr>
        <w:pStyle w:val="Compact"/>
        <w:numPr>
          <w:ilvl w:val="0"/>
          <w:numId w:val="1006"/>
        </w:numPr>
      </w:pPr>
      <w:r>
        <w:t xml:space="preserve">Full transaction history reconstructable from ledger alone</w:t>
      </w:r>
    </w:p>
    <w:p>
      <w:pPr>
        <w:pStyle w:val="Compact"/>
        <w:numPr>
          <w:ilvl w:val="0"/>
          <w:numId w:val="1007"/>
        </w:numPr>
      </w:pPr>
      <w:r>
        <w:t xml:space="preserve">No hidden balances or shadow fields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Bank Expectation</w:t>
      </w:r>
      <w:r>
        <w:t xml:space="preserve">: If balance ≠ sum(ledger), system is rejected.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wallet-architecture"/>
    <w:p>
      <w:pPr>
        <w:pStyle w:val="Heading2"/>
      </w:pPr>
      <w:r>
        <w:t xml:space="preserve">2️⃣ Wallet Architecture</w:t>
      </w:r>
    </w:p>
    <w:p>
      <w:pPr>
        <w:pStyle w:val="Compact"/>
        <w:numPr>
          <w:ilvl w:val="0"/>
          <w:numId w:val="1008"/>
        </w:numPr>
      </w:pPr>
      <w:r>
        <w:t xml:space="preserve">Wallet is</w:t>
      </w:r>
      <w:r>
        <w:t xml:space="preserve"> </w:t>
      </w:r>
      <w:r>
        <w:rPr>
          <w:b/>
          <w:bCs/>
        </w:rPr>
        <w:t xml:space="preserve">container only</w:t>
      </w:r>
      <w:r>
        <w:t xml:space="preserve"> </w:t>
      </w:r>
      <w:r>
        <w:t xml:space="preserve">(no money logic in UI)</w:t>
      </w:r>
    </w:p>
    <w:p>
      <w:pPr>
        <w:pStyle w:val="Compact"/>
        <w:numPr>
          <w:ilvl w:val="0"/>
          <w:numId w:val="1009"/>
        </w:numPr>
      </w:pPr>
      <w:r>
        <w:t xml:space="preserve">Wallet status enforced (ACTIVE / FROZEN / CLOSED)</w:t>
      </w:r>
    </w:p>
    <w:p>
      <w:pPr>
        <w:pStyle w:val="Compact"/>
        <w:numPr>
          <w:ilvl w:val="0"/>
          <w:numId w:val="1010"/>
        </w:numPr>
      </w:pPr>
      <w:r>
        <w:t xml:space="preserve">Debit cannot exceed derived balance</w:t>
      </w:r>
    </w:p>
    <w:p>
      <w:pPr>
        <w:pStyle w:val="Compact"/>
        <w:numPr>
          <w:ilvl w:val="0"/>
          <w:numId w:val="1011"/>
        </w:numPr>
      </w:pPr>
      <w:r>
        <w:t xml:space="preserve">All transfers are</w:t>
      </w:r>
      <w:r>
        <w:t xml:space="preserve"> </w:t>
      </w:r>
      <w:r>
        <w:rPr>
          <w:b/>
          <w:bCs/>
        </w:rPr>
        <w:t xml:space="preserve">atomic</w:t>
      </w:r>
      <w:r>
        <w:t xml:space="preserve"> </w:t>
      </w:r>
      <w:r>
        <w:t xml:space="preserve">(debit + credit in one transaction)</w:t>
      </w:r>
    </w:p>
    <w:p>
      <w:pPr>
        <w:pStyle w:val="Compact"/>
        <w:numPr>
          <w:ilvl w:val="0"/>
          <w:numId w:val="1012"/>
        </w:numPr>
      </w:pPr>
      <w:r>
        <w:t xml:space="preserve">Idempotency enforced for every financial operation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Bank Expectation</w:t>
      </w:r>
      <w:r>
        <w:t xml:space="preserve">: Double‑charge must be mathematically impossible.</w:t>
      </w:r>
    </w:p>
    <w:p>
      <w:r>
        <w:pict>
          <v:rect style="width:0;height:1.5pt" o:hralign="center" o:hrstd="t" o:hr="t"/>
        </w:pict>
      </w:r>
    </w:p>
    <w:bookmarkEnd w:id="23"/>
    <w:bookmarkStart w:id="24" w:name="escrow-ownership-model"/>
    <w:p>
      <w:pPr>
        <w:pStyle w:val="Heading2"/>
      </w:pPr>
      <w:r>
        <w:t xml:space="preserve">3️⃣ Escrow &amp; Ownership Model</w:t>
      </w:r>
    </w:p>
    <w:p>
      <w:pPr>
        <w:pStyle w:val="Compact"/>
        <w:numPr>
          <w:ilvl w:val="0"/>
          <w:numId w:val="1013"/>
        </w:numPr>
      </w:pPr>
      <w:r>
        <w:t xml:space="preserve">Escrow HOLD clearly separates</w:t>
      </w:r>
      <w:r>
        <w:t xml:space="preserve"> </w:t>
      </w:r>
      <w:r>
        <w:rPr>
          <w:b/>
          <w:bCs/>
        </w:rPr>
        <w:t xml:space="preserve">ownership vs availability</w:t>
      </w:r>
    </w:p>
    <w:p>
      <w:pPr>
        <w:pStyle w:val="Compact"/>
        <w:numPr>
          <w:ilvl w:val="0"/>
          <w:numId w:val="1014"/>
        </w:numPr>
      </w:pPr>
      <w:r>
        <w:t xml:space="preserve">Escrow RELEASE is explicit, logged, and authorized</w:t>
      </w:r>
    </w:p>
    <w:p>
      <w:pPr>
        <w:pStyle w:val="Compact"/>
        <w:numPr>
          <w:ilvl w:val="0"/>
          <w:numId w:val="1015"/>
        </w:numPr>
      </w:pPr>
      <w:r>
        <w:t xml:space="preserve">Escrow never auto‑releases from payment confirmation</w:t>
      </w:r>
    </w:p>
    <w:p>
      <w:pPr>
        <w:pStyle w:val="Compact"/>
        <w:numPr>
          <w:ilvl w:val="0"/>
          <w:numId w:val="1016"/>
        </w:numPr>
      </w:pPr>
      <w:r>
        <w:t xml:space="preserve">Escrow logic is</w:t>
      </w:r>
      <w:r>
        <w:t xml:space="preserve"> </w:t>
      </w:r>
      <w:r>
        <w:rPr>
          <w:b/>
          <w:bCs/>
        </w:rPr>
        <w:t xml:space="preserve">internal truth</w:t>
      </w:r>
    </w:p>
    <w:p>
      <w:pPr>
        <w:pStyle w:val="FirstParagraph"/>
      </w:pPr>
      <w:r>
        <w:t xml:space="preserve">❌ Forbidden:</w:t>
      </w:r>
      <w:r>
        <w:t xml:space="preserve"> </w:t>
      </w:r>
      <w:r>
        <w:t xml:space="preserve">- Auto-release on webhook</w:t>
      </w:r>
      <w:r>
        <w:t xml:space="preserve"> </w:t>
      </w:r>
      <w:r>
        <w:t xml:space="preserve">- UI-triggered release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Bank Expectation</w:t>
      </w:r>
      <w:r>
        <w:t xml:space="preserve">: Money ≠ Ownership</w:t>
      </w:r>
    </w:p>
    <w:p>
      <w:r>
        <w:pict>
          <v:rect style="width:0;height:1.5pt" o:hralign="center" o:hrstd="t" o:hr="t"/>
        </w:pict>
      </w:r>
    </w:p>
    <w:bookmarkEnd w:id="24"/>
    <w:bookmarkStart w:id="25" w:name="payment-gateway-integration"/>
    <w:p>
      <w:pPr>
        <w:pStyle w:val="Heading2"/>
      </w:pPr>
      <w:r>
        <w:t xml:space="preserve">4️⃣ Payment Gateway Integration</w:t>
      </w:r>
    </w:p>
    <w:p>
      <w:pPr>
        <w:pStyle w:val="Compact"/>
        <w:numPr>
          <w:ilvl w:val="0"/>
          <w:numId w:val="1017"/>
        </w:numPr>
      </w:pPr>
      <w:r>
        <w:t xml:space="preserve">Gateway is treated as</w:t>
      </w:r>
      <w:r>
        <w:t xml:space="preserve"> </w:t>
      </w:r>
      <w:r>
        <w:rPr>
          <w:b/>
          <w:bCs/>
        </w:rPr>
        <w:t xml:space="preserve">external signal</w:t>
      </w:r>
      <w:r>
        <w:t xml:space="preserve">, not source of truth</w:t>
      </w:r>
    </w:p>
    <w:p>
      <w:pPr>
        <w:pStyle w:val="Compact"/>
        <w:numPr>
          <w:ilvl w:val="0"/>
          <w:numId w:val="1018"/>
        </w:numPr>
      </w:pPr>
      <w:r>
        <w:t xml:space="preserve">Webhooks are:</w:t>
      </w:r>
    </w:p>
    <w:p>
      <w:pPr>
        <w:pStyle w:val="Compact"/>
        <w:numPr>
          <w:ilvl w:val="1"/>
          <w:numId w:val="1019"/>
        </w:numPr>
      </w:pPr>
      <w:r>
        <w:t xml:space="preserve">signature-verified</w:t>
      </w:r>
    </w:p>
    <w:p>
      <w:pPr>
        <w:pStyle w:val="Compact"/>
        <w:numPr>
          <w:ilvl w:val="1"/>
          <w:numId w:val="1019"/>
        </w:numPr>
      </w:pPr>
      <w:r>
        <w:t xml:space="preserve">raw-body validated</w:t>
      </w:r>
    </w:p>
    <w:p>
      <w:pPr>
        <w:pStyle w:val="Compact"/>
        <w:numPr>
          <w:ilvl w:val="1"/>
          <w:numId w:val="1019"/>
        </w:numPr>
      </w:pPr>
      <w:r>
        <w:t xml:space="preserve">idempotent</w:t>
      </w:r>
    </w:p>
    <w:p>
      <w:pPr>
        <w:pStyle w:val="Compact"/>
        <w:numPr>
          <w:ilvl w:val="0"/>
          <w:numId w:val="1020"/>
        </w:numPr>
      </w:pPr>
      <w:r>
        <w:t xml:space="preserve">Gateway events only create</w:t>
      </w:r>
      <w:r>
        <w:t xml:space="preserve"> </w:t>
      </w:r>
      <w:r>
        <w:rPr>
          <w:b/>
          <w:bCs/>
        </w:rPr>
        <w:t xml:space="preserve">ledger credits</w:t>
      </w:r>
    </w:p>
    <w:p>
      <w:pPr>
        <w:pStyle w:val="Compact"/>
        <w:numPr>
          <w:ilvl w:val="0"/>
          <w:numId w:val="1021"/>
        </w:numPr>
      </w:pPr>
      <w:r>
        <w:t xml:space="preserve">No business decisions in webhook handlers</w:t>
      </w:r>
    </w:p>
    <w:p>
      <w:pPr>
        <w:pStyle w:val="FirstParagraph"/>
      </w:pPr>
      <w:r>
        <w:t xml:space="preserve">❌ Forbidden:</w:t>
      </w:r>
      <w:r>
        <w:t xml:space="preserve"> </w:t>
      </w:r>
      <w:r>
        <w:t xml:space="preserve">- Trusting redirect URLs</w:t>
      </w:r>
      <w:r>
        <w:t xml:space="preserve"> </w:t>
      </w:r>
      <w:r>
        <w:t xml:space="preserve">- Trusting frontend callbacks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Bank Expectation</w:t>
      </w:r>
      <w:r>
        <w:t xml:space="preserve">: Webhook ≠ command</w:t>
      </w:r>
    </w:p>
    <w:p>
      <w:r>
        <w:pict>
          <v:rect style="width:0;height:1.5pt" o:hralign="center" o:hrstd="t" o:hr="t"/>
        </w:pict>
      </w:r>
    </w:p>
    <w:bookmarkEnd w:id="25"/>
    <w:bookmarkStart w:id="26" w:name="reconciliation-critical"/>
    <w:p>
      <w:pPr>
        <w:pStyle w:val="Heading2"/>
      </w:pPr>
      <w:r>
        <w:t xml:space="preserve">5️⃣ Reconciliation (CRITICAL)</w:t>
      </w:r>
    </w:p>
    <w:p>
      <w:pPr>
        <w:pStyle w:val="Compact"/>
        <w:numPr>
          <w:ilvl w:val="0"/>
          <w:numId w:val="1022"/>
        </w:numPr>
      </w:pPr>
      <w:r>
        <w:t xml:space="preserve">Reconciliation is</w:t>
      </w:r>
      <w:r>
        <w:t xml:space="preserve"> </w:t>
      </w:r>
      <w:r>
        <w:rPr>
          <w:b/>
          <w:bCs/>
        </w:rPr>
        <w:t xml:space="preserve">read-only</w:t>
      </w:r>
    </w:p>
    <w:p>
      <w:pPr>
        <w:pStyle w:val="Compact"/>
        <w:numPr>
          <w:ilvl w:val="0"/>
          <w:numId w:val="1023"/>
        </w:numPr>
      </w:pPr>
      <w:r>
        <w:t xml:space="preserve">Detects mismatches, never fixes them</w:t>
      </w:r>
    </w:p>
    <w:p>
      <w:pPr>
        <w:pStyle w:val="Compact"/>
        <w:numPr>
          <w:ilvl w:val="0"/>
          <w:numId w:val="1024"/>
        </w:numPr>
      </w:pPr>
      <w:r>
        <w:t xml:space="preserve">No ledger writes during reconciliation</w:t>
      </w:r>
    </w:p>
    <w:p>
      <w:pPr>
        <w:pStyle w:val="Compact"/>
        <w:numPr>
          <w:ilvl w:val="0"/>
          <w:numId w:val="1025"/>
        </w:numPr>
      </w:pPr>
      <w:r>
        <w:t xml:space="preserve">No escrow release during reconciliation</w:t>
      </w:r>
    </w:p>
    <w:p>
      <w:pPr>
        <w:pStyle w:val="Compact"/>
        <w:numPr>
          <w:ilvl w:val="0"/>
          <w:numId w:val="1026"/>
        </w:numPr>
      </w:pPr>
      <w:r>
        <w:t xml:space="preserve">All discrepancies classified and logged</w:t>
      </w:r>
    </w:p>
    <w:p>
      <w:pPr>
        <w:pStyle w:val="FirstParagraph"/>
      </w:pPr>
      <w:r>
        <w:t xml:space="preserve">Mismatch types:</w:t>
      </w:r>
      <w:r>
        <w:t xml:space="preserve"> </w:t>
      </w:r>
      <w:r>
        <w:t xml:space="preserve">- MISSING_PAYMENT</w:t>
      </w:r>
      <w:r>
        <w:t xml:space="preserve"> </w:t>
      </w:r>
      <w:r>
        <w:t xml:space="preserve">- AMOUNT_MISMATCH</w:t>
      </w:r>
      <w:r>
        <w:t xml:space="preserve"> </w:t>
      </w:r>
      <w:r>
        <w:t xml:space="preserve">- DELAYED_PAYMENT</w:t>
      </w:r>
      <w:r>
        <w:t xml:space="preserve"> </w:t>
      </w:r>
      <w:r>
        <w:t xml:space="preserve">- DUPLICATE_PAYMENT</w:t>
      </w:r>
      <w:r>
        <w:t xml:space="preserve"> </w:t>
      </w:r>
      <w:r>
        <w:t xml:space="preserve">- GATEWAY_FAILURE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Bank Expectation</w:t>
      </w:r>
      <w:r>
        <w:t xml:space="preserve">: Humans approve fixes — systems only report.</w:t>
      </w:r>
    </w:p>
    <w:p>
      <w:r>
        <w:pict>
          <v:rect style="width:0;height:1.5pt" o:hralign="center" o:hrstd="t" o:hr="t"/>
        </w:pict>
      </w:r>
    </w:p>
    <w:bookmarkEnd w:id="26"/>
    <w:bookmarkStart w:id="27" w:name="security-trust-model"/>
    <w:p>
      <w:pPr>
        <w:pStyle w:val="Heading2"/>
      </w:pPr>
      <w:r>
        <w:t xml:space="preserve">6️⃣ Security &amp; Trust Model</w:t>
      </w:r>
    </w:p>
    <w:p>
      <w:pPr>
        <w:pStyle w:val="Compact"/>
        <w:numPr>
          <w:ilvl w:val="0"/>
          <w:numId w:val="1027"/>
        </w:numPr>
      </w:pPr>
      <w:r>
        <w:t xml:space="preserve">Frontend is</w:t>
      </w:r>
      <w:r>
        <w:t xml:space="preserve"> </w:t>
      </w:r>
      <w:r>
        <w:rPr>
          <w:b/>
          <w:bCs/>
        </w:rPr>
        <w:t xml:space="preserve">never trusted</w:t>
      </w:r>
    </w:p>
    <w:p>
      <w:pPr>
        <w:pStyle w:val="Compact"/>
        <w:numPr>
          <w:ilvl w:val="0"/>
          <w:numId w:val="1028"/>
        </w:numPr>
      </w:pPr>
      <w:r>
        <w:t xml:space="preserve">All money movement is backend-only</w:t>
      </w:r>
    </w:p>
    <w:p>
      <w:pPr>
        <w:pStyle w:val="Compact"/>
        <w:numPr>
          <w:ilvl w:val="0"/>
          <w:numId w:val="1029"/>
        </w:numPr>
      </w:pPr>
      <w:r>
        <w:t xml:space="preserve">Role-based access (Admin ≠ Operator ≠ System)</w:t>
      </w:r>
    </w:p>
    <w:p>
      <w:pPr>
        <w:pStyle w:val="Compact"/>
        <w:numPr>
          <w:ilvl w:val="0"/>
          <w:numId w:val="1030"/>
        </w:numPr>
      </w:pPr>
      <w:r>
        <w:t xml:space="preserve">Dual approval for sensitive actions</w:t>
      </w:r>
    </w:p>
    <w:p>
      <w:pPr>
        <w:pStyle w:val="Compact"/>
        <w:numPr>
          <w:ilvl w:val="0"/>
          <w:numId w:val="1031"/>
        </w:numPr>
      </w:pPr>
      <w:r>
        <w:t xml:space="preserve">Rate limiting on financial endpoints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Bank Expectation</w:t>
      </w:r>
      <w:r>
        <w:t xml:space="preserve">: Assume breach — system must survive it.</w:t>
      </w:r>
    </w:p>
    <w:p>
      <w:r>
        <w:pict>
          <v:rect style="width:0;height:1.5pt" o:hralign="center" o:hrstd="t" o:hr="t"/>
        </w:pict>
      </w:r>
    </w:p>
    <w:bookmarkEnd w:id="27"/>
    <w:bookmarkStart w:id="28" w:name="audit-compliance"/>
    <w:p>
      <w:pPr>
        <w:pStyle w:val="Heading2"/>
      </w:pPr>
      <w:r>
        <w:t xml:space="preserve">7️⃣ Audit &amp; Compliance</w:t>
      </w:r>
    </w:p>
    <w:p>
      <w:pPr>
        <w:pStyle w:val="Compact"/>
        <w:numPr>
          <w:ilvl w:val="0"/>
          <w:numId w:val="1032"/>
        </w:numPr>
      </w:pPr>
      <w:r>
        <w:t xml:space="preserve">Immutable command log for:</w:t>
      </w:r>
    </w:p>
    <w:p>
      <w:pPr>
        <w:pStyle w:val="Compact"/>
        <w:numPr>
          <w:ilvl w:val="1"/>
          <w:numId w:val="1033"/>
        </w:numPr>
      </w:pPr>
      <w:r>
        <w:t xml:space="preserve">escrow release</w:t>
      </w:r>
    </w:p>
    <w:p>
      <w:pPr>
        <w:pStyle w:val="Compact"/>
        <w:numPr>
          <w:ilvl w:val="1"/>
          <w:numId w:val="1033"/>
        </w:numPr>
      </w:pPr>
      <w:r>
        <w:t xml:space="preserve">refunds</w:t>
      </w:r>
    </w:p>
    <w:p>
      <w:pPr>
        <w:pStyle w:val="Compact"/>
        <w:numPr>
          <w:ilvl w:val="1"/>
          <w:numId w:val="1033"/>
        </w:numPr>
      </w:pPr>
      <w:r>
        <w:t xml:space="preserve">overrides</w:t>
      </w:r>
    </w:p>
    <w:p>
      <w:pPr>
        <w:pStyle w:val="Compact"/>
        <w:numPr>
          <w:ilvl w:val="0"/>
          <w:numId w:val="1034"/>
        </w:numPr>
      </w:pPr>
      <w:r>
        <w:t xml:space="preserve">Actor + timestamp on every decision</w:t>
      </w:r>
    </w:p>
    <w:p>
      <w:pPr>
        <w:pStyle w:val="Compact"/>
        <w:numPr>
          <w:ilvl w:val="0"/>
          <w:numId w:val="1035"/>
        </w:numPr>
      </w:pPr>
      <w:r>
        <w:t xml:space="preserve">Manual actions require justification text</w:t>
      </w:r>
    </w:p>
    <w:p>
      <w:pPr>
        <w:pStyle w:val="Compact"/>
        <w:numPr>
          <w:ilvl w:val="0"/>
          <w:numId w:val="1036"/>
        </w:numPr>
      </w:pPr>
      <w:r>
        <w:t xml:space="preserve">Historical state reconstruction possible</w:t>
      </w:r>
    </w:p>
    <w:p>
      <w:pPr>
        <w:pStyle w:val="FirstParagraph"/>
      </w:pPr>
      <w:r>
        <w:t xml:space="preserve">Standards aligned with:</w:t>
      </w:r>
      <w:r>
        <w:t xml:space="preserve"> </w:t>
      </w:r>
      <w:r>
        <w:t xml:space="preserve">- PCI‑DSS (logic separation)</w:t>
      </w:r>
      <w:r>
        <w:t xml:space="preserve"> </w:t>
      </w:r>
      <w:r>
        <w:t xml:space="preserve">- SOX‑style auditability</w:t>
      </w:r>
      <w:r>
        <w:t xml:space="preserve"> </w:t>
      </w:r>
      <w:r>
        <w:t xml:space="preserve">- ISO‑27001 principles</w:t>
      </w:r>
    </w:p>
    <w:p>
      <w:r>
        <w:pict>
          <v:rect style="width:0;height:1.5pt" o:hralign="center" o:hrstd="t" o:hr="t"/>
        </w:pict>
      </w:r>
    </w:p>
    <w:bookmarkEnd w:id="28"/>
    <w:bookmarkStart w:id="30" w:name="testing-bankgrade-requirement"/>
    <w:p>
      <w:pPr>
        <w:pStyle w:val="Heading2"/>
      </w:pPr>
      <w:r>
        <w:t xml:space="preserve">8️⃣ Testing (BANK‑GRADE REQUIREMENT)</w:t>
      </w:r>
    </w:p>
    <w:bookmarkStart w:id="29" w:name="mandatory-safety-tests"/>
    <w:p>
      <w:pPr>
        <w:pStyle w:val="Heading3"/>
      </w:pPr>
      <w:r>
        <w:t xml:space="preserve">Mandatory Safety Tests</w:t>
      </w:r>
    </w:p>
    <w:p>
      <w:pPr>
        <w:pStyle w:val="Compact"/>
        <w:numPr>
          <w:ilvl w:val="0"/>
          <w:numId w:val="1037"/>
        </w:numPr>
      </w:pPr>
      <w:r>
        <w:t xml:space="preserve">No ledger mutation tests</w:t>
      </w:r>
    </w:p>
    <w:p>
      <w:pPr>
        <w:pStyle w:val="Compact"/>
        <w:numPr>
          <w:ilvl w:val="0"/>
          <w:numId w:val="1038"/>
        </w:numPr>
      </w:pPr>
      <w:r>
        <w:t xml:space="preserve">Overdraft prevention tests</w:t>
      </w:r>
    </w:p>
    <w:p>
      <w:pPr>
        <w:pStyle w:val="Compact"/>
        <w:numPr>
          <w:ilvl w:val="0"/>
          <w:numId w:val="1039"/>
        </w:numPr>
      </w:pPr>
      <w:r>
        <w:t xml:space="preserve">Concurrent debit protection</w:t>
      </w:r>
    </w:p>
    <w:p>
      <w:pPr>
        <w:pStyle w:val="Compact"/>
        <w:numPr>
          <w:ilvl w:val="0"/>
          <w:numId w:val="1040"/>
        </w:numPr>
      </w:pPr>
      <w:r>
        <w:t xml:space="preserve">Idempotency tests</w:t>
      </w:r>
    </w:p>
    <w:p>
      <w:pPr>
        <w:pStyle w:val="Compact"/>
        <w:numPr>
          <w:ilvl w:val="0"/>
          <w:numId w:val="1041"/>
        </w:numPr>
      </w:pPr>
      <w:r>
        <w:t xml:space="preserve">Reconciliation safety tests</w:t>
      </w:r>
    </w:p>
    <w:p>
      <w:pPr>
        <w:pStyle w:val="FirstParagraph"/>
      </w:pPr>
      <w:r>
        <w:t xml:space="preserve">❌ If any test fails →</w:t>
      </w:r>
      <w:r>
        <w:t xml:space="preserve"> </w:t>
      </w:r>
      <w:r>
        <w:rPr>
          <w:b/>
          <w:bCs/>
        </w:rPr>
        <w:t xml:space="preserve">NO DEPLOY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Bank Expectation</w:t>
      </w:r>
      <w:r>
        <w:t xml:space="preserve">: Tests are part of compliance, not QA.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xplicit-questions-banks-will-ask"/>
    <w:p>
      <w:pPr>
        <w:pStyle w:val="Heading2"/>
      </w:pPr>
      <w:r>
        <w:t xml:space="preserve">9️⃣ Explicit Questions Banks Will Ask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Expected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balance be edited?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UI move money?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money disappear?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every action auditable?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escrow auto-release?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webhooks authoritative?</w:t>
            </w:r>
          </w:p>
        </w:tc>
        <w:tc>
          <w:tcPr/>
          <w:p>
            <w:pPr>
              <w:pStyle w:val="Compact"/>
            </w:pPr>
            <w:r>
              <w:t xml:space="preserve">✅ YES (for arrival only)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3" w:name="final-verdict-criteria"/>
    <w:p>
      <w:pPr>
        <w:pStyle w:val="Heading2"/>
      </w:pPr>
      <w:r>
        <w:t xml:space="preserve">🟢 FINAL VERDICT CRITERIA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sections pass:</w:t>
      </w:r>
    </w:p>
    <w:p>
      <w:pPr>
        <w:pStyle w:val="BodyText"/>
      </w:pPr>
      <w:r>
        <w:t xml:space="preserve">✅ System qualifies as</w:t>
      </w:r>
      <w:r>
        <w:t xml:space="preserve"> </w:t>
      </w:r>
      <w:r>
        <w:rPr>
          <w:b/>
          <w:bCs/>
        </w:rPr>
        <w:t xml:space="preserve">Bank‑Grade Financial Infrastructure</w:t>
      </w:r>
      <w:r>
        <w:br/>
      </w:r>
      <w:r>
        <w:t xml:space="preserve">❌ Missing even one →</w:t>
      </w:r>
      <w:r>
        <w:t xml:space="preserve"> </w:t>
      </w:r>
      <w:r>
        <w:rPr>
          <w:b/>
          <w:bCs/>
        </w:rPr>
        <w:t xml:space="preserve">Rejected by bank / processor</w:t>
      </w:r>
    </w:p>
    <w:p>
      <w:r>
        <w:pict>
          <v:rect style="width:0;height:1.5pt" o:hralign="center" o:hrstd="t" o:hr="t"/>
        </w:pict>
      </w:r>
    </w:p>
    <w:bookmarkStart w:id="32" w:name="this-document-can-be-safely-used-as"/>
    <w:p>
      <w:pPr>
        <w:pStyle w:val="Heading3"/>
      </w:pPr>
      <w:r>
        <w:t xml:space="preserve">This document can be safely used as:</w:t>
      </w:r>
    </w:p>
    <w:p>
      <w:pPr>
        <w:pStyle w:val="Compact"/>
        <w:numPr>
          <w:ilvl w:val="0"/>
          <w:numId w:val="1042"/>
        </w:numPr>
      </w:pPr>
      <w:r>
        <w:t xml:space="preserve">Bank technical due‑diligence reference</w:t>
      </w:r>
    </w:p>
    <w:p>
      <w:pPr>
        <w:pStyle w:val="Compact"/>
        <w:numPr>
          <w:ilvl w:val="0"/>
          <w:numId w:val="1042"/>
        </w:numPr>
      </w:pPr>
      <w:r>
        <w:t xml:space="preserve">Payment processor onboarding checklist</w:t>
      </w:r>
    </w:p>
    <w:p>
      <w:pPr>
        <w:pStyle w:val="Compact"/>
        <w:numPr>
          <w:ilvl w:val="0"/>
          <w:numId w:val="1042"/>
        </w:numPr>
      </w:pPr>
      <w:r>
        <w:t xml:space="preserve">Internal compliance gate</w:t>
      </w:r>
    </w:p>
    <w:p>
      <w:pPr>
        <w:pStyle w:val="Compact"/>
        <w:numPr>
          <w:ilvl w:val="0"/>
          <w:numId w:val="1042"/>
        </w:numPr>
      </w:pPr>
      <w:r>
        <w:t xml:space="preserve">Investor / audit explanation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✔ Proven by MNbarh Phase 4.1 → 4.4 implementation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1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2026-01-08T23:57:50Z</dcterms:created>
  <dcterms:modified xsi:type="dcterms:W3CDTF">2026-01-08T23:57:50Z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