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NAWASSY BOOKING</w:t>
      </w:r>
    </w:p>
    <w:p>
      <w:pPr>
        <w:jc w:val="center"/>
      </w:pPr>
      <w:r>
        <w:t>كراسة شروط وإجراءات الحجز الإلكتروني للوحدات العقارية</w:t>
      </w:r>
    </w:p>
    <w:p>
      <w:pPr>
        <w:jc w:val="center"/>
      </w:pPr>
      <w:r>
        <w:t>مسودة تشغيلية للمراجعة القانونية والتجارية — الإصدار 1.2 | أكتوبر 2026</w:t>
      </w:r>
    </w:p>
    <w:p>
      <w:pPr>
        <w:jc w:val="right"/>
      </w:pPr>
      <w:r>
        <w:rPr>
          <w:b/>
        </w:rPr>
        <w:t>تنويه: هذه الكراسة خاصة بالبيع من شركة نواصي، ولا تمثل طرحًا حكوميًا أو نقلًا لشروط الدعم أو التمويل العقاري الحكومية. لا تصبح ملزمة إلا بعد اعتمادها ونشر نسختها النهائية وربطها بالطرح المحدد.</w:t>
      </w:r>
    </w:p>
    <w:p>
      <w:pPr>
        <w:pStyle w:val="Heading2"/>
        <w:jc w:val="right"/>
      </w:pPr>
      <w:r>
        <w:t>1 | التعريفات ونطاق التطبيق</w:t>
      </w:r>
    </w:p>
    <w:p>
      <w:pPr>
        <w:jc w:val="right"/>
      </w:pPr>
      <w:r>
        <w:rPr>
          <w:b w:val="0"/>
        </w:rPr>
        <w:t>الشركة: الكيان القانوني البائع الذي يُذكر اسمه وسجله التجاري وعنوانه في صفحة الطرح والعقد. المنصة: NAWASSY BOOKING. العميل: صاحب الحساب الذي يتقدم بحجز. الطرح: مجموعة وحدات لها تاريخ بدء وانتهاء وقواعد مالية منشورة. الحجز المؤقت: منع اختيار الوحدة من غير العميل أثناء استكمال الدفع، دون أن يعد بيعًا أو تخصيصًا نهائيًا.</w:t>
      </w:r>
    </w:p>
    <w:p>
      <w:pPr>
        <w:pStyle w:val="Heading2"/>
        <w:jc w:val="right"/>
      </w:pPr>
      <w:r>
        <w:t>2 | المشروعات والوحدات المتاحة</w:t>
      </w:r>
    </w:p>
    <w:p>
      <w:pPr>
        <w:jc w:val="right"/>
      </w:pPr>
      <w:r>
        <w:rPr>
          <w:b w:val="0"/>
        </w:rPr>
        <w:t>تشمل المنصة مشروعات نواصي التي تحددها الشركة في كل طرح. تكون بيانات المساحة والسعر والتشطيب والجدول الزمني وملحقات الوحدة الواردة بصفحة الوحدة وخطة السداد جزءًا من ملخص الطلب، وفق المستندات والعقود المعتمدة. لا تُعرض بيانات تجريبية ضمن أي طرح للبيع الفعلي.</w:t>
      </w:r>
    </w:p>
    <w:p>
      <w:pPr>
        <w:pStyle w:val="Heading2"/>
        <w:jc w:val="right"/>
      </w:pPr>
      <w:r>
        <w:t>3 | التسجيل والأهلية</w:t>
      </w:r>
    </w:p>
    <w:p>
      <w:pPr>
        <w:jc w:val="right"/>
      </w:pPr>
      <w:r>
        <w:rPr>
          <w:b w:val="0"/>
        </w:rPr>
        <w:t>التسجيل مفتوح للجمهور، مع التحقق من رقم الهاتف ومن هوية المتقدم وبياناته. يلتزم العميل بصحة البيانات، ويجوز طلب مستندات إضافية بحسب طبيعة الوحدة والعميل. الحد الأقصى: حجز وحدة واحدة لكل عميل في الطرح الواحد؛ تُطبق القاعدة على الهوية التي تم التحقق منها وليس البريد أو رقم الهاتف وحدهما.</w:t>
      </w:r>
    </w:p>
    <w:p>
      <w:pPr>
        <w:pStyle w:val="Heading2"/>
        <w:jc w:val="right"/>
      </w:pPr>
      <w:r>
        <w:t>4 | أسبقية الحجز</w:t>
      </w:r>
    </w:p>
    <w:p>
      <w:pPr>
        <w:jc w:val="right"/>
      </w:pPr>
      <w:r>
        <w:rPr>
          <w:b w:val="0"/>
        </w:rPr>
        <w:t>نظام الطرح: أسبقية الدفع الإلكتروني الناجح المؤكد من مزود الدفع، مع احتجاز الوحدة مؤقتًا لمدة 15 دقيقة من بدء الحجز. الترتيب يحكمه توقيت التسجيل الموثّق للمعاملة المقبولة وفق قواعد القفل الذري للوحدات، وتسوية حالات انتهاء المهلة أو وصول تأكيد متأخر دون تخصيص مزدوج. عرض كلمة «متاحة» لا يعني ضمانها حتى بدء الاحتجاز المؤقت.</w:t>
      </w:r>
    </w:p>
    <w:p>
      <w:pPr>
        <w:pStyle w:val="Heading2"/>
        <w:jc w:val="right"/>
      </w:pPr>
      <w:r>
        <w:t>5 | جدية الحجز والسداد الإلكتروني</w:t>
      </w:r>
    </w:p>
    <w:p>
      <w:pPr>
        <w:jc w:val="right"/>
      </w:pPr>
      <w:r>
        <w:rPr>
          <w:b w:val="0"/>
        </w:rPr>
        <w:t>عملة التعامل: الجنيه المصري (EGP). مبلغ جدية الحجز: [يحدد لكل طرح/نوع وحدة] جنيه. تُعرض قيمة السداد ورقم الطلب وسياسة الرسوم والاسترداد قبل الانتقال لبوابة الدفع المرخصة. لا يعد الرجوع من بوابة الدفع دليلًا كافيًا على السداد؛ التأكيد وفق إشعار خادمي موثوق وتسوية العملية.</w:t>
      </w:r>
    </w:p>
    <w:p>
      <w:pPr>
        <w:pStyle w:val="Heading2"/>
        <w:jc w:val="right"/>
      </w:pPr>
      <w:r>
        <w:t>6 | رفع المستندات بعد الدفع</w:t>
      </w:r>
    </w:p>
    <w:p>
      <w:pPr>
        <w:jc w:val="right"/>
      </w:pPr>
      <w:r>
        <w:rPr>
          <w:b w:val="0"/>
        </w:rPr>
        <w:t>بعد تأكيد الدفع يبدأ عدّ 3 أيام تقويمية لاستكمال المستندات المطلوبة على المنصة. تشمل القائمة النهائية حسب نوع العميل: هوية سارية، بيانات الاتصال، مستندات تمثيل الشركة إن وجدت، وأي مستند محدد في الطرح. يتم إشعار العميل بالنواقص وإتاحة إعادة الرفع. أثر التأخير أو عدم المطابقة على الحجز والاسترداد يُحدد حصريًا وفق سياسة الطرح المعتمدة، ولا يُفترض إلغاء تلقائي غير منصوص عليه.</w:t>
      </w:r>
    </w:p>
    <w:p>
      <w:pPr>
        <w:pStyle w:val="Heading2"/>
        <w:jc w:val="right"/>
      </w:pPr>
      <w:r>
        <w:t>7 | حالات الطلب</w:t>
      </w:r>
    </w:p>
    <w:p>
      <w:pPr>
        <w:jc w:val="right"/>
      </w:pPr>
      <w:r>
        <w:rPr>
          <w:b w:val="0"/>
        </w:rPr>
        <w:t>متاح ← حجز مؤقت (15 دقيقة) ← في انتظار الدفع ← مدفوع/حجز مبدئي ← في انتظار المستندات (3 أيام) ← تحت المراجعة ← مقبول لاستكمال التعاقد / يحتاج استكمال / مرفوض وفق سبب وسياسة معلنين. الحجز المبدئي ليس عقد بيع نهائيًا.</w:t>
      </w:r>
    </w:p>
    <w:p>
      <w:pPr>
        <w:pStyle w:val="Heading2"/>
        <w:jc w:val="right"/>
      </w:pPr>
      <w:r>
        <w:t>8 | الإلغاء والاسترداد</w:t>
      </w:r>
    </w:p>
    <w:p>
      <w:pPr>
        <w:jc w:val="right"/>
      </w:pPr>
      <w:r>
        <w:rPr>
          <w:b w:val="0"/>
        </w:rPr>
        <w:t>الأحوال التي يجوز فيها الإلغاء، ومواعيد رد جدية الحجز والخصومات إن وجدت، ورسوم بوابة الدفع، وجهة فض المنازعات: [يُعتمد نص تفصيلي من الإدارة القانونية والمالية قبل تفعيل الدفع]. يجب إظهار البنود للعميل قبل الدفع مع قبول مستقل لها.</w:t>
      </w:r>
    </w:p>
    <w:p>
      <w:pPr>
        <w:pStyle w:val="Heading2"/>
        <w:jc w:val="right"/>
      </w:pPr>
      <w:r>
        <w:t>9 | التعاقد والتسليم</w:t>
      </w:r>
    </w:p>
    <w:p>
      <w:pPr>
        <w:jc w:val="right"/>
      </w:pPr>
      <w:r>
        <w:rPr>
          <w:b w:val="0"/>
        </w:rPr>
        <w:t>يخضع السعر النهائي والدفعات ومواعيد التسليم والتشطيبات والالتزامات والجزاءات والتنازل والرسوم والصيانة لأحكام العقد وملحقاته المعتمدة الخاصة بالمشروع والوحدة. لا يُستبدل عقد البيع بالموافقة الرقمية على الكراسة.</w:t>
      </w:r>
    </w:p>
    <w:p>
      <w:pPr>
        <w:pStyle w:val="Heading2"/>
        <w:jc w:val="right"/>
      </w:pPr>
      <w:r>
        <w:t>10 | حماية البيانات والإقرارات</w:t>
      </w:r>
    </w:p>
    <w:p>
      <w:pPr>
        <w:jc w:val="right"/>
      </w:pPr>
      <w:r>
        <w:rPr>
          <w:b w:val="0"/>
        </w:rPr>
        <w:t>تُجمع البيانات والمستندات للغرض المحدد من الحجز والتحقق والتعاقد مع تقييد وصول موظفي الشركة المخولين إليها، ومدة احتفاظ وسياسة حذف وإتاحة حقوق صاحب البيانات وفق التشريعات المصرية المعمول بها. يجب اعتماد سياسة خصوصية مستقلة وإتاحتها للعميل. تحفظ موافقة العميل على رقم إصدار الكراسة وتاريخها وتوقيت الموافقة والطلب المرتبط بها.</w:t>
      </w:r>
    </w:p>
    <w:p>
      <w:pPr>
        <w:pStyle w:val="Heading2"/>
        <w:jc w:val="right"/>
      </w:pPr>
      <w:r>
        <w:t>11 | الموافقة الإلكترونية</w:t>
      </w:r>
    </w:p>
    <w:p>
      <w:pPr>
        <w:jc w:val="right"/>
      </w:pPr>
      <w:r>
        <w:rPr>
          <w:b w:val="0"/>
        </w:rPr>
        <w:t>أقر بأنني اطلعت على كراسة الشروط رقم الإصدار [1.2 بعد الاعتماد] وعلى بيانات الوحدة وجدول السداد وسياسة الاسترداد، وأوافق على تطبيقها على طلب الحجز، مع علمي أن الحجز المبدئي لا يمثل عقد بيع نهائيًا.</w:t>
      </w:r>
    </w:p>
    <w:p>
      <w:pPr>
        <w:pStyle w:val="Heading2"/>
        <w:jc w:val="right"/>
      </w:pPr>
      <w:r>
        <w:t>12 | حقول يجب استكمالها قبل النشر الرسمي</w:t>
      </w:r>
    </w:p>
    <w:p>
      <w:pPr>
        <w:jc w:val="right"/>
      </w:pPr>
      <w:r>
        <w:rPr>
          <w:b w:val="0"/>
        </w:rPr>
        <w:t>• الاسم القانوني الكامل للشركة، السجل التجاري، الرقم الضريبي، العنوان ووسائل الشكاوى.</w:t>
      </w:r>
    </w:p>
    <w:p>
      <w:pPr>
        <w:jc w:val="right"/>
      </w:pPr>
      <w:r>
        <w:rPr>
          <w:b w:val="0"/>
        </w:rPr>
        <w:t>• قيمة جدية الحجز لكل مشروع أو طرح، وأي مصاريف إضافية.</w:t>
      </w:r>
    </w:p>
    <w:p>
      <w:pPr>
        <w:jc w:val="right"/>
      </w:pPr>
      <w:r>
        <w:rPr>
          <w:b w:val="0"/>
        </w:rPr>
        <w:t>• سياسة الإلغاء والاسترداد ومواعيد التسوية والرفض وعدم استكمال المستندات.</w:t>
      </w:r>
    </w:p>
    <w:p>
      <w:pPr>
        <w:jc w:val="right"/>
      </w:pPr>
      <w:r>
        <w:rPr>
          <w:b w:val="0"/>
        </w:rPr>
        <w:t>• تفاصيل خطة السداد وأحكام تعديل السعر والتسليم والصيانة وفق كل مشروع.</w:t>
      </w:r>
    </w:p>
    <w:p>
      <w:pPr>
        <w:jc w:val="right"/>
      </w:pPr>
      <w:r>
        <w:rPr>
          <w:b w:val="0"/>
        </w:rPr>
        <w:t>• قائمة المستندات المطلوبة حسب فئة العميل وسياسة الخصوصية.</w:t>
      </w:r>
    </w:p>
    <w:p>
      <w:pPr>
        <w:jc w:val="right"/>
      </w:pPr>
      <w:r>
        <w:rPr>
          <w:b w:val="0"/>
        </w:rPr>
        <w:t>• اعتماد الإدارة القانونية والمالية ومجلس الإدارة بحسب الصلاحيات.</w:t>
      </w:r>
    </w:p>
    <w:p>
      <w:pPr>
        <w:pStyle w:val="Heading2"/>
        <w:jc w:val="right"/>
      </w:pPr>
      <w:r>
        <w:t>13 | الربط التقني بالمنصة</w:t>
      </w:r>
    </w:p>
    <w:p>
      <w:pPr>
        <w:jc w:val="right"/>
      </w:pPr>
      <w:r>
        <w:rPr>
          <w:b w:val="0"/>
        </w:rPr>
        <w:t>عند كل طرح تُخزن: terms_version, terms_hash, accepted_at, customer_id, offering_id, reservation_id, accepted_ip (عند الإتاحة القانونية)، مع نسخة PDF مؤرشفة غير قابلة للتعديل. لا يُنشأ انتقال للدفع بدون موافقة صريحة على الإصدار المعروض. في نسخة العرض العامة لا يُجمع رقم قومي ولا ملف حقيقي ولا تُجرى معاملة دفع.</w:t>
      </w:r>
    </w:p>
    <w:p>
      <w:pPr>
        <w:jc w:val="right"/>
      </w:pPr>
      <w:r>
        <w:rPr>
          <w:b w:val="0"/>
        </w:rPr>
        <w:t>مرجع الصياغة الهيكلية: كراسة شروط برنامج «سكن كل المصريين» بالشراكة مع المطورين العقاريين لسنة 2026، مع عدم نقل ضوابط الدعم والتمويل والتخصيص الحكومي إلى طرح نواصي الخاص.</w:t>
      </w:r>
    </w:p>
    <w:sectPr w:rsidR="00FC693F" w:rsidRPr="0006063C" w:rsidSect="00034616">
      <w:pgSz w:w="12240" w:h="15840"/>
      <w:pgMar w:top="1152" w:right="1800" w:bottom="108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rial" w:hAnsi="Arial"/>
      <w:color w:val="23343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