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b/>
          <w:color w:val="2C3E50"/>
          <w:sz w:val="36"/>
        </w:rPr>
        <w:t>DecodeLabs: Data Analytics Internship</w:t>
        <w:br/>
        <w:t>Project 1: Data Cleaning &amp; Preparation</w:t>
      </w:r>
    </w:p>
    <w:p>
      <w:pPr>
        <w:spacing w:after="480"/>
        <w:jc w:val="center"/>
      </w:pPr>
      <w:r>
        <w:rPr>
          <w:i/>
          <w:sz w:val="20"/>
        </w:rPr>
        <w:t>Data Integrity &amp; Pipeline Standard Operating Procedure (SOP)</w:t>
        <w:br/>
        <w:t>Official Deliverable Report</w:t>
      </w:r>
    </w:p>
    <w:p>
      <w:pPr>
        <w:pStyle w:val="Heading1"/>
        <w:keepNext/>
        <w:spacing w:before="280" w:after="80"/>
      </w:pPr>
      <w:r>
        <w:rPr>
          <w:rFonts w:ascii="Arial" w:hAnsi="Arial"/>
          <w:color w:val="2C3E50"/>
        </w:rPr>
        <w:t>1. Executive Summary &amp; Data Integrity Architecture</w:t>
      </w:r>
    </w:p>
    <w:p>
      <w:pPr>
        <w:spacing w:line="300" w:lineRule="auto"/>
      </w:pPr>
      <w:r>
        <w:t>In compliance with the Phase 1 Data Architecture requirements from the DecodeLabs manual, a rigorous Data Cleaning and Preparation audit was performed on the raw transactions dataset. The goal of this milestone is to transition messy, raw inputs into a certified 'Gold Standard' single source of truth, ensuring downstream models do not inherit formatting anomalies or structural errors.</w:t>
      </w:r>
    </w:p>
    <w:p>
      <w:pPr>
        <w:pStyle w:val="Heading1"/>
        <w:keepNext/>
        <w:spacing w:before="280" w:after="80"/>
      </w:pPr>
      <w:r>
        <w:rPr>
          <w:rFonts w:ascii="Arial" w:hAnsi="Arial"/>
          <w:color w:val="2C3E50"/>
        </w:rPr>
        <w:t>2. Diagnostic Audit Findings</w:t>
      </w:r>
    </w:p>
    <w:p>
      <w:pPr>
        <w:spacing w:line="300" w:lineRule="auto"/>
      </w:pPr>
      <w:r>
        <w:rPr>
          <w:b/>
        </w:rPr>
        <w:t xml:space="preserve">• Total Inspected Records: </w:t>
      </w:r>
      <w:r>
        <w:t>1,200 initial transactional rows.</w:t>
        <w:br/>
      </w:r>
      <w:r>
        <w:rPr>
          <w:b/>
        </w:rPr>
        <w:t xml:space="preserve">• Missing Values Profile: </w:t>
      </w:r>
      <w:r>
        <w:t xml:space="preserve">A scan for missing (null) values revealed that structural structural integrity is high across critical operational vectors (OrderID, CustomerID, Date, Product, Quantity, UnitPrice, and TotalPrice). The only missing values are confined to the </w:t>
      </w:r>
      <w:r>
        <w:rPr>
          <w:i/>
        </w:rPr>
        <w:t>CouponCode</w:t>
      </w:r>
      <w:r>
        <w:t xml:space="preserve"> column, with 309 records (~25.75% missing).</w:t>
        <w:br/>
      </w:r>
      <w:r>
        <w:rPr>
          <w:b/>
        </w:rPr>
        <w:t xml:space="preserve">• Strategic Imputation Action: </w:t>
      </w:r>
      <w:r>
        <w:t>Per Page 8 guidelines, listwise deletion was rejected to prevent lowering statistical power. Instead, since CouponCode values are structurally sparse (not every customer uses a discount coupon), the nulls were deliberately preserved as 'None' or empty markers rather than synthetic values, protecting the analytical purity of the promotional ROI tracking.</w:t>
      </w:r>
    </w:p>
    <w:p>
      <w:pPr>
        <w:pStyle w:val="Heading1"/>
        <w:keepNext/>
        <w:spacing w:before="280" w:after="80"/>
      </w:pPr>
      <w:r>
        <w:rPr>
          <w:rFonts w:ascii="Arial" w:hAnsi="Arial"/>
          <w:color w:val="2C3E50"/>
        </w:rPr>
        <w:t>3. The Integrity Audit &amp; Formatting Pipeline</w:t>
      </w:r>
    </w:p>
    <w:p>
      <w:pPr>
        <w:spacing w:line="300" w:lineRule="auto"/>
      </w:pPr>
      <w:r>
        <w:t>To achieve a complete 'One Truth, One Record' state as highlighted on Page 9 of the Industrial Training Kit, the following sequential pipeline was automated via code:</w:t>
      </w:r>
    </w:p>
    <w:p>
      <w:pPr>
        <w:spacing w:line="300" w:lineRule="auto"/>
      </w:pPr>
      <w:r>
        <w:rPr>
          <w:b/>
        </w:rPr>
        <w:t xml:space="preserve">1. Uniqueness Guarantee: </w:t>
      </w:r>
      <w:r>
        <w:t>Evaluated the dataset for duplicated entries. No absolute row duplicates or overlapping unique identifiers (`OrderID`) were found, verifying that transaction counts are perfectly uninflated.</w:t>
        <w:br/>
        <w:br/>
      </w:r>
      <w:r>
        <w:rPr>
          <w:b/>
        </w:rPr>
        <w:t xml:space="preserve">2. Temporal Standardization: </w:t>
      </w:r>
      <w:r>
        <w:t>Converted the `Date` column into standardized ISO 8601 Date format (`YYYY-MM-DD`). Structural anomalies and out-of-bounds strings were parsed to prevent analytical execution failure during time-series aggregation.</w:t>
        <w:br/>
        <w:br/>
      </w:r>
      <w:r>
        <w:rPr>
          <w:b/>
        </w:rPr>
        <w:t xml:space="preserve">3. Text Regularization: </w:t>
      </w:r>
      <w:r>
        <w:t>Applied string normalization across categoricals (`Product`, `PaymentMethod`, `OrderStatus`). Leading and trailing whitespaces were removed using stripping functions, and text casing was forced into standard title casing to prevent artificial row multiplication during `GROUP BY` operations.</w:t>
      </w:r>
    </w:p>
    <w:p>
      <w:pPr>
        <w:pStyle w:val="Heading1"/>
        <w:keepNext/>
        <w:spacing w:before="280" w:after="80"/>
      </w:pPr>
      <w:r>
        <w:rPr>
          <w:rFonts w:ascii="Arial" w:hAnsi="Arial"/>
          <w:color w:val="2C3E50"/>
        </w:rPr>
        <w:t>4. Cleaned Pipeline Outputs</w:t>
      </w:r>
    </w:p>
    <w:p>
      <w:pPr>
        <w:spacing w:line="300" w:lineRule="auto"/>
      </w:pPr>
      <w:r>
        <w:t>The output of this data engineering sprint is a verified, structurally sound data file. The script runs seamlessly and exports the fully processed record set for Project 2 and dashboard ingestion. All variables are verified to have appropriate memory constraints and optimal data types.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