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b/>
          <w:color w:val="1F4E79"/>
          <w:sz w:val="36"/>
        </w:rPr>
        <w:t>DecodeLabs: Data Analytics Internship</w:t>
        <w:br/>
        <w:t>Project 2: Exploratory Data Analysis (EDA)</w:t>
      </w:r>
    </w:p>
    <w:p>
      <w:pPr>
        <w:spacing w:after="480"/>
        <w:jc w:val="center"/>
      </w:pPr>
      <w:r>
        <w:rPr>
          <w:i/>
          <w:sz w:val="20"/>
        </w:rPr>
        <w:t>Industrial Training Kit | Batch 2026</w:t>
        <w:br/>
        <w:t>Official Deliverable Report</w:t>
      </w:r>
    </w:p>
    <w:p>
      <w:pPr>
        <w:pStyle w:val="Heading1"/>
        <w:keepNext/>
        <w:spacing w:before="240" w:after="80"/>
      </w:pPr>
      <w:r>
        <w:rPr>
          <w:rFonts w:ascii="Arial" w:hAnsi="Arial"/>
          <w:color w:val="1F4E79"/>
        </w:rPr>
        <w:t>1. Executive Summary &amp; Data Profiling</w:t>
      </w:r>
    </w:p>
    <w:p>
      <w:pPr>
        <w:spacing w:line="300" w:lineRule="auto"/>
      </w:pPr>
      <w:r>
        <w:t>As part of the discovery phase for Project 2, a comprehensive Exploratory Data Analysis (EDA) was conducted on the retail transactions dataset. The objective is to unpack the underlying distributions, operational trends, and data logic as outlined in the DecodeLabs training manual.</w:t>
      </w:r>
    </w:p>
    <w:p>
      <w:pPr>
        <w:spacing w:line="300" w:lineRule="auto"/>
      </w:pPr>
      <w:r>
        <w:rPr>
          <w:b/>
        </w:rPr>
        <w:t xml:space="preserve">• Dataset Dimensions: </w:t>
      </w:r>
      <w:r>
        <w:t>1,192 historical records across 14 transactional variables.</w:t>
        <w:br/>
      </w:r>
      <w:r>
        <w:rPr>
          <w:b/>
        </w:rPr>
        <w:t xml:space="preserve">• Data Quality Check: </w:t>
      </w:r>
      <w:r>
        <w:t xml:space="preserve">The core data columns are fully populated. Missing data is exclusively localized in the </w:t>
      </w:r>
      <w:r>
        <w:rPr>
          <w:i/>
        </w:rPr>
        <w:t>CouponCode</w:t>
      </w:r>
      <w:r>
        <w:t xml:space="preserve"> column (~19% blank), which reflects an expected consumer behavior pattern where not all checkouts utilize promotional codes.</w:t>
      </w:r>
    </w:p>
    <w:p>
      <w:pPr>
        <w:pStyle w:val="Heading1"/>
        <w:keepNext/>
        <w:spacing w:before="240" w:after="80"/>
      </w:pPr>
      <w:r>
        <w:rPr>
          <w:rFonts w:ascii="Arial" w:hAnsi="Arial"/>
          <w:color w:val="1F4E79"/>
        </w:rPr>
        <w:t>2. The Shape of Evidence: Distribution &amp; Center of Gravity</w:t>
      </w:r>
    </w:p>
    <w:p>
      <w:pPr>
        <w:spacing w:line="300" w:lineRule="auto"/>
      </w:pPr>
      <w:r>
        <w:t>Following the 'Geometry of Distribution' criteria (Page 8-10 of the Training Kit), univariate analysis was applied to establish robust statistics for financial metrics:</w:t>
      </w:r>
    </w:p>
    <w:p>
      <w:pPr>
        <w:pStyle w:val="Heading2"/>
        <w:keepNext/>
        <w:spacing w:before="240" w:after="80"/>
      </w:pPr>
      <w:r>
        <w:rPr>
          <w:rFonts w:ascii="Arial" w:hAnsi="Arial"/>
          <w:color w:val="595959"/>
        </w:rPr>
        <w:t>A) Order Value Analysis (TotalPrice Column)</w:t>
      </w:r>
    </w:p>
    <w:p>
      <w:pPr>
        <w:spacing w:line="300" w:lineRule="auto"/>
      </w:pPr>
      <w:r>
        <w:rPr>
          <w:b/>
        </w:rPr>
        <w:t xml:space="preserve">• Mean (Average): </w:t>
      </w:r>
      <w:r>
        <w:t>$1,219.01</w:t>
        <w:br/>
      </w:r>
      <w:r>
        <w:rPr>
          <w:b/>
        </w:rPr>
        <w:t xml:space="preserve">• Median (50th Percentile): </w:t>
      </w:r>
      <w:r>
        <w:t>$886.73</w:t>
        <w:br/>
      </w:r>
      <w:r>
        <w:rPr>
          <w:b/>
        </w:rPr>
        <w:t xml:space="preserve">• Five-Number Summary: </w:t>
      </w:r>
      <w:r>
        <w:t>[Minimum: $10.02, Q1 (25%): $360.71, Median: $886.73, Q3 (75%): $1,806.33, Maximum: $4,980.70]</w:t>
        <w:br/>
      </w:r>
      <w:r>
        <w:rPr>
          <w:b/>
        </w:rPr>
        <w:t xml:space="preserve">• Analytical Verdict: </w:t>
      </w:r>
      <w:r>
        <w:t xml:space="preserve">The mean is substantially greater than the median ($1,219.01 &gt; $886.73). This proves that the data exhibits a </w:t>
      </w:r>
      <w:r>
        <w:rPr>
          <w:b/>
        </w:rPr>
        <w:t>Right-Skewed Distribution (Positively Skewed)</w:t>
      </w:r>
      <w:r>
        <w:t xml:space="preserve">. Extreme high-value outlier purchases pull the average upward, similar to the 'Elon Musk anomaly' concept. Consequently, the </w:t>
      </w:r>
      <w:r>
        <w:rPr>
          <w:b/>
        </w:rPr>
        <w:t>Median</w:t>
      </w:r>
      <w:r>
        <w:t xml:space="preserve"> provides the true, robust center of gravity for normal operational tracking.</w:t>
      </w:r>
    </w:p>
    <w:p>
      <w:pPr>
        <w:pStyle w:val="Heading2"/>
        <w:keepNext/>
        <w:spacing w:before="240" w:after="80"/>
      </w:pPr>
      <w:r>
        <w:rPr>
          <w:rFonts w:ascii="Arial" w:hAnsi="Arial"/>
          <w:color w:val="595959"/>
        </w:rPr>
        <w:t>B) Product Pricing Analysis (UnitPrice Column)</w:t>
      </w:r>
    </w:p>
    <w:p>
      <w:pPr>
        <w:spacing w:line="300" w:lineRule="auto"/>
      </w:pPr>
      <w:r>
        <w:rPr>
          <w:b/>
        </w:rPr>
        <w:t xml:space="preserve">• Mean: </w:t>
      </w:r>
      <w:r>
        <w:t xml:space="preserve">$403.04 | </w:t>
      </w:r>
      <w:r>
        <w:rPr>
          <w:b/>
        </w:rPr>
        <w:t xml:space="preserve">• Median: </w:t>
      </w:r>
      <w:r>
        <w:t>$402.16</w:t>
        <w:br/>
      </w:r>
      <w:r>
        <w:rPr>
          <w:b/>
        </w:rPr>
        <w:t xml:space="preserve">• Analytical Verdict: </w:t>
      </w:r>
      <w:r>
        <w:t xml:space="preserve">The complete convergence of the mean and median demonstrates a perfectly </w:t>
      </w:r>
      <w:r>
        <w:rPr>
          <w:b/>
        </w:rPr>
        <w:t>Symmetrical Distribution</w:t>
      </w:r>
      <w:r>
        <w:t xml:space="preserve"> in the catalog pricing strategy.</w:t>
      </w:r>
    </w:p>
    <w:p>
      <w:pPr>
        <w:pStyle w:val="Heading1"/>
        <w:keepNext/>
        <w:spacing w:before="240" w:after="80"/>
      </w:pPr>
      <w:r>
        <w:rPr>
          <w:rFonts w:ascii="Arial" w:hAnsi="Arial"/>
          <w:color w:val="1F4E79"/>
        </w:rPr>
        <w:t>3. Product Performance Insights</w:t>
      </w:r>
    </w:p>
    <w:p>
      <w:pPr>
        <w:spacing w:line="300" w:lineRule="auto"/>
      </w:pPr>
      <w:r>
        <w:t>Aggregated summaries reveal the core commercial performance vectors of the store inventory: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rPr>
              <w:t>Product</w:t>
            </w:r>
          </w:p>
        </w:tc>
        <w:tc>
          <w:tcPr>
            <w:tcW w:type="dxa" w:w="2340"/>
          </w:tcPr>
          <w:p>
            <w:r>
              <w:rPr>
                <w:b/>
              </w:rPr>
              <w:t>Total Revenue</w:t>
            </w:r>
          </w:p>
        </w:tc>
        <w:tc>
          <w:tcPr>
            <w:tcW w:type="dxa" w:w="2340"/>
          </w:tcPr>
          <w:p>
            <w:r>
              <w:rPr>
                <w:b/>
              </w:rPr>
              <w:t>Total Quantity</w:t>
            </w:r>
          </w:p>
        </w:tc>
        <w:tc>
          <w:tcPr>
            <w:tcW w:type="dxa" w:w="2340"/>
          </w:tcPr>
          <w:p>
            <w:r>
              <w:rPr>
                <w:b/>
              </w:rPr>
              <w:t>Avg Unit Price</w:t>
            </w:r>
          </w:p>
        </w:tc>
      </w:tr>
      <w:tr>
        <w:tc>
          <w:tcPr>
            <w:tcW w:type="dxa" w:w="2340"/>
          </w:tcPr>
          <w:p>
            <w:r>
              <w:t>Chair</w:t>
            </w:r>
          </w:p>
        </w:tc>
        <w:tc>
          <w:tcPr>
            <w:tcW w:type="dxa" w:w="2340"/>
          </w:tcPr>
          <w:p>
            <w:r>
              <w:t>$288,575.48</w:t>
            </w:r>
          </w:p>
        </w:tc>
        <w:tc>
          <w:tcPr>
            <w:tcW w:type="dxa" w:w="2340"/>
          </w:tcPr>
          <w:p>
            <w:r>
              <w:t>664</w:t>
            </w:r>
          </w:p>
        </w:tc>
        <w:tc>
          <w:tcPr>
            <w:tcW w:type="dxa" w:w="2340"/>
          </w:tcPr>
          <w:p>
            <w:r>
              <w:t>$291.68</w:t>
            </w:r>
          </w:p>
        </w:tc>
      </w:tr>
      <w:tr>
        <w:tc>
          <w:tcPr>
            <w:tcW w:type="dxa" w:w="2340"/>
          </w:tcPr>
          <w:p>
            <w:r>
              <w:t>Desk</w:t>
            </w:r>
          </w:p>
        </w:tc>
        <w:tc>
          <w:tcPr>
            <w:tcW w:type="dxa" w:w="2340"/>
          </w:tcPr>
          <w:p>
            <w:r>
              <w:t>$250,568.04</w:t>
            </w:r>
          </w:p>
        </w:tc>
        <w:tc>
          <w:tcPr>
            <w:tcW w:type="dxa" w:w="2340"/>
          </w:tcPr>
          <w:p>
            <w:r>
              <w:t>557</w:t>
            </w:r>
          </w:p>
        </w:tc>
        <w:tc>
          <w:tcPr>
            <w:tcW w:type="dxa" w:w="2340"/>
          </w:tcPr>
          <w:p>
            <w:r>
              <w:t>$450.41</w:t>
            </w:r>
          </w:p>
        </w:tc>
      </w:tr>
      <w:tr>
        <w:tc>
          <w:tcPr>
            <w:tcW w:type="dxa" w:w="2340"/>
          </w:tcPr>
          <w:p>
            <w:r>
              <w:t>Monitor</w:t>
            </w:r>
          </w:p>
        </w:tc>
        <w:tc>
          <w:tcPr>
            <w:tcW w:type="dxa" w:w="2340"/>
          </w:tcPr>
          <w:p>
            <w:r>
              <w:t>$243,303.88</w:t>
            </w:r>
          </w:p>
        </w:tc>
        <w:tc>
          <w:tcPr>
            <w:tcW w:type="dxa" w:w="2340"/>
          </w:tcPr>
          <w:p>
            <w:r>
              <w:t>545</w:t>
            </w:r>
          </w:p>
        </w:tc>
        <w:tc>
          <w:tcPr>
            <w:tcW w:type="dxa" w:w="2340"/>
          </w:tcPr>
          <w:p>
            <w:r>
              <w:t>$437.95</w:t>
            </w:r>
          </w:p>
        </w:tc>
      </w:tr>
      <w:tr>
        <w:tc>
          <w:tcPr>
            <w:tcW w:type="dxa" w:w="2340"/>
          </w:tcPr>
          <w:p>
            <w:r>
              <w:t>Tablet</w:t>
            </w:r>
          </w:p>
        </w:tc>
        <w:tc>
          <w:tcPr>
            <w:tcW w:type="dxa" w:w="2340"/>
          </w:tcPr>
          <w:p>
            <w:r>
              <w:t>$240,683.56</w:t>
            </w:r>
          </w:p>
        </w:tc>
        <w:tc>
          <w:tcPr>
            <w:tcW w:type="dxa" w:w="2340"/>
          </w:tcPr>
          <w:p>
            <w:r>
              <w:t>550</w:t>
            </w:r>
          </w:p>
        </w:tc>
        <w:tc>
          <w:tcPr>
            <w:tcW w:type="dxa" w:w="2340"/>
          </w:tcPr>
          <w:p>
            <w:r>
              <w:t>$441.77</w:t>
            </w:r>
          </w:p>
        </w:tc>
      </w:tr>
      <w:tr>
        <w:tc>
          <w:tcPr>
            <w:tcW w:type="dxa" w:w="2340"/>
          </w:tcPr>
          <w:p>
            <w:r>
              <w:t>Laptop</w:t>
            </w:r>
          </w:p>
        </w:tc>
        <w:tc>
          <w:tcPr>
            <w:tcW w:type="dxa" w:w="2340"/>
          </w:tcPr>
          <w:p>
            <w:r>
              <w:t>$215,920.40</w:t>
            </w:r>
          </w:p>
        </w:tc>
        <w:tc>
          <w:tcPr>
            <w:tcW w:type="dxa" w:w="2340"/>
          </w:tcPr>
          <w:p>
            <w:r>
              <w:t>473</w:t>
            </w:r>
          </w:p>
        </w:tc>
        <w:tc>
          <w:tcPr>
            <w:tcW w:type="dxa" w:w="2340"/>
          </w:tcPr>
          <w:p>
            <w:r>
              <w:t>$465.17</w:t>
            </w:r>
          </w:p>
        </w:tc>
      </w:tr>
      <w:tr>
        <w:tc>
          <w:tcPr>
            <w:tcW w:type="dxa" w:w="2340"/>
          </w:tcPr>
          <w:p>
            <w:r>
              <w:t>Phone</w:t>
            </w:r>
          </w:p>
        </w:tc>
        <w:tc>
          <w:tcPr>
            <w:tcW w:type="dxa" w:w="2340"/>
          </w:tcPr>
          <w:p>
            <w:r>
              <w:t>$214,013.91</w:t>
            </w:r>
          </w:p>
        </w:tc>
        <w:tc>
          <w:tcPr>
            <w:tcW w:type="dxa" w:w="2340"/>
          </w:tcPr>
          <w:p>
            <w:r>
              <w:t>511</w:t>
            </w:r>
          </w:p>
        </w:tc>
        <w:tc>
          <w:tcPr>
            <w:tcW w:type="dxa" w:w="2340"/>
          </w:tcPr>
          <w:p>
            <w:r>
              <w:t>$417.80</w:t>
            </w:r>
          </w:p>
        </w:tc>
      </w:tr>
      <w:tr>
        <w:tc>
          <w:tcPr>
            <w:tcW w:type="dxa" w:w="2340"/>
          </w:tcPr>
          <w:p>
            <w:r>
              <w:t>Printer</w:t>
            </w:r>
          </w:p>
        </w:tc>
        <w:tc>
          <w:tcPr>
            <w:tcW w:type="dxa" w:w="2340"/>
          </w:tcPr>
          <w:p>
            <w:r>
              <w:t>$200,001.32</w:t>
            </w:r>
          </w:p>
        </w:tc>
        <w:tc>
          <w:tcPr>
            <w:tcW w:type="dxa" w:w="2340"/>
          </w:tcPr>
          <w:p>
            <w:r>
              <w:t>473</w:t>
            </w:r>
          </w:p>
        </w:tc>
        <w:tc>
          <w:tcPr>
            <w:tcW w:type="dxa" w:w="2340"/>
          </w:tcPr>
          <w:p>
            <w:r>
              <w:t>$416.71</w:t>
            </w:r>
          </w:p>
        </w:tc>
      </w:tr>
    </w:tbl>
    <w:p>
      <w:pPr>
        <w:spacing w:after="240"/>
      </w:pPr>
    </w:p>
    <w:p>
      <w:pPr>
        <w:pStyle w:val="Heading1"/>
        <w:keepNext/>
        <w:spacing w:before="240" w:after="80"/>
      </w:pPr>
      <w:r>
        <w:rPr>
          <w:rFonts w:ascii="Arial" w:hAnsi="Arial"/>
          <w:color w:val="1F4E79"/>
        </w:rPr>
        <w:t>4. Operational &amp; Behavioral Discoveries</w:t>
      </w:r>
    </w:p>
    <w:p>
      <w:pPr>
        <w:pStyle w:val="Heading2"/>
        <w:keepNext/>
        <w:spacing w:before="240" w:after="80"/>
      </w:pPr>
      <w:r>
        <w:rPr>
          <w:rFonts w:ascii="Arial" w:hAnsi="Arial"/>
          <w:color w:val="595959"/>
        </w:rPr>
        <w:t>A) Payment Preference Split</w:t>
      </w:r>
    </w:p>
    <w:p>
      <w:pPr>
        <w:spacing w:line="300" w:lineRule="auto"/>
      </w:pPr>
      <w:r>
        <w:t>Customer choice for payments is highly diversified and balanced across methods: Credit Cards lead with 247 orders, closely balanced with Online payments (243), Debit Cards (237), Cash (236), and Gift Cards (229).</w:t>
      </w:r>
    </w:p>
    <w:p>
      <w:pPr>
        <w:pStyle w:val="Heading2"/>
        <w:keepNext/>
        <w:spacing w:before="240" w:after="80"/>
      </w:pPr>
      <w:r>
        <w:rPr>
          <w:rFonts w:ascii="Arial" w:hAnsi="Arial"/>
          <w:color w:val="595959"/>
        </w:rPr>
        <w:t>B) Order Fulfillment Status &amp; Operational Threat</w:t>
      </w:r>
    </w:p>
    <w:p>
      <w:pPr>
        <w:spacing w:line="300" w:lineRule="auto"/>
      </w:pPr>
      <w:r>
        <w:rPr>
          <w:b/>
        </w:rPr>
        <w:t xml:space="preserve">• Delivered / Shipped: </w:t>
      </w:r>
      <w:r>
        <w:t>502 total successful fulfillment pipelines.</w:t>
        <w:br/>
      </w:r>
      <w:r>
        <w:rPr>
          <w:b/>
        </w:rPr>
        <w:t xml:space="preserve">• Cancelled / Returned: </w:t>
      </w:r>
      <w:r>
        <w:t>456 combined units (231 Cancelled, 225 Returned).</w:t>
        <w:br/>
      </w:r>
      <w:r>
        <w:rPr>
          <w:b/>
        </w:rPr>
        <w:t xml:space="preserve">• Critical Warning: </w:t>
      </w:r>
      <w:r>
        <w:t xml:space="preserve">Cancellations and customer returns together make up </w:t>
      </w:r>
      <w:r>
        <w:rPr>
          <w:b/>
        </w:rPr>
        <w:t>38.2%</w:t>
      </w:r>
      <w:r>
        <w:t xml:space="preserve"> of the absolute transaction count. This is a severe leak in the supply chain and delivery operations, indicating possible product descriptions mismatches or transit delays that require instant intervention.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