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b/>
          <w:color w:val="2980B9"/>
          <w:sz w:val="36"/>
        </w:rPr>
        <w:t>DecodeLabs: Data Analytics Internship</w:t>
        <w:br/>
        <w:t>Project 3: Data Visualization</w:t>
      </w:r>
    </w:p>
    <w:p>
      <w:pPr>
        <w:spacing w:after="480"/>
        <w:jc w:val="center"/>
      </w:pPr>
      <w:r>
        <w:rPr>
          <w:i/>
          <w:sz w:val="20"/>
        </w:rPr>
        <w:t>Strategic Visual Insights &amp; Dashboard Design</w:t>
        <w:br/>
        <w:t>Official Deliverable Report</w:t>
      </w:r>
    </w:p>
    <w:p>
      <w:pPr>
        <w:pStyle w:val="Heading1"/>
        <w:keepNext/>
        <w:spacing w:before="280" w:after="80"/>
      </w:pPr>
      <w:r>
        <w:rPr>
          <w:rFonts w:ascii="Arial" w:hAnsi="Arial"/>
          <w:color w:val="2980B9"/>
        </w:rPr>
        <w:t>1. Introduction &amp; Visualization Objectives</w:t>
      </w:r>
    </w:p>
    <w:p>
      <w:pPr>
        <w:spacing w:line="300" w:lineRule="auto"/>
      </w:pPr>
      <w:r>
        <w:t>In accordance with the Project 3 requirements outlined in the DecodeLabs Data Visualization manual, this report presents the definitive charts, visual structures, and operational summaries derived from the cleaned transactional master data. The primary objective is to move beyond text summaries and leverage data communication to visually highlight performance, tracking trends, and systemic risks.</w:t>
      </w:r>
    </w:p>
    <w:p>
      <w:pPr>
        <w:pStyle w:val="Heading1"/>
        <w:keepNext/>
        <w:spacing w:before="280" w:after="80"/>
      </w:pPr>
      <w:r>
        <w:rPr>
          <w:rFonts w:ascii="Arial" w:hAnsi="Arial"/>
          <w:color w:val="2980B9"/>
        </w:rPr>
        <w:t>2. Chart 1: Revenue Performance by Product Category (Bar Chart)</w:t>
      </w:r>
    </w:p>
    <w:p>
      <w:pPr>
        <w:spacing w:line="300" w:lineRule="auto"/>
      </w:pPr>
      <w:r>
        <w:t>A horizontal/vertical bar chart was selected to compare cumulative financial contributions across the entire product mix. This helps identify primary revenue drivers and slow-moving stock keeping units (SKUs).</w:t>
      </w:r>
    </w:p>
    <w:p>
      <w:pPr>
        <w:spacing w:line="300" w:lineRule="auto"/>
      </w:pPr>
      <w:r>
        <w:rPr>
          <w:b/>
        </w:rPr>
        <w:t xml:space="preserve">• Visual Representation: </w:t>
      </w:r>
      <w:r>
        <w:t>A clear comparison showing Chairs, Laptops, and Printers leading the financial metrics.</w:t>
        <w:br/>
      </w:r>
      <w:r>
        <w:rPr>
          <w:b/>
        </w:rPr>
        <w:t xml:space="preserve">• Core Visual Insight: </w:t>
      </w:r>
      <w:r>
        <w:t>Chairs represent the absolute maximum revenue stream ($195,620.11), followed closely by Printers ($195,612.61) and Laptops ($192,126.56). Conversely, Phones represent the lowest absolute visual tier ($151,722.39).</w:t>
      </w:r>
    </w:p>
    <w:p>
      <w:pPr>
        <w:pStyle w:val="Heading1"/>
        <w:keepNext/>
        <w:spacing w:before="280" w:after="80"/>
      </w:pPr>
      <w:r>
        <w:rPr>
          <w:rFonts w:ascii="Arial" w:hAnsi="Arial"/>
          <w:color w:val="2980B9"/>
        </w:rPr>
        <w:t>3. Chart 2: Structural Volume Breakdowns (Pie / Donut Chart)</w:t>
      </w:r>
    </w:p>
    <w:p>
      <w:pPr>
        <w:spacing w:line="300" w:lineRule="auto"/>
      </w:pPr>
      <w:r>
        <w:t>A pie/donut chart was implemented to display proportional breakdowns of operational statuses, helping spot fulfillment inefficiencies.</w:t>
      </w:r>
    </w:p>
    <w:p>
      <w:pPr>
        <w:spacing w:line="300" w:lineRule="auto"/>
      </w:pPr>
      <w:r>
        <w:rPr>
          <w:b/>
        </w:rPr>
        <w:t xml:space="preserve">• Visual Representation: </w:t>
      </w:r>
      <w:r>
        <w:t>A status breakdown showing an uniform slice across all five transaction outcomes.</w:t>
        <w:br/>
      </w:r>
      <w:r>
        <w:rPr>
          <w:b/>
        </w:rPr>
        <w:t xml:space="preserve">• Core Visual Insight: </w:t>
      </w:r>
      <w:r>
        <w:t>Fulfillment statuses are distributed evenly, which visually emphasizes an alarming business trend: Cancelled orders (250) and Returned orders (247) make up a significant portion of total operations. This uniform slice confirms that transactional leakages are as prevalent as successful deliveries, requiring an urgent review of logistics.</w:t>
      </w:r>
    </w:p>
    <w:p>
      <w:pPr>
        <w:pStyle w:val="Heading1"/>
        <w:keepNext/>
        <w:spacing w:before="280" w:after="80"/>
      </w:pPr>
      <w:r>
        <w:rPr>
          <w:rFonts w:ascii="Arial" w:hAnsi="Arial"/>
          <w:color w:val="2980B9"/>
        </w:rPr>
        <w:t>4. Chart 3: Historical Sales Trend Analysis (Line Chart)</w:t>
      </w:r>
    </w:p>
    <w:p>
      <w:pPr>
        <w:spacing w:line="300" w:lineRule="auto"/>
      </w:pPr>
      <w:r>
        <w:t>A continuous line chart was plotted across the timeline to detect temporal cycles, growth behaviors, or seasonal anomalies.</w:t>
      </w:r>
    </w:p>
    <w:p>
      <w:pPr>
        <w:spacing w:line="300" w:lineRule="auto"/>
      </w:pPr>
      <w:r>
        <w:rPr>
          <w:b/>
        </w:rPr>
        <w:t xml:space="preserve">• Visual Representation: </w:t>
      </w:r>
      <w:r>
        <w:t>A sequential timeline mapping revenue performance month-over-month.</w:t>
        <w:br/>
      </w:r>
      <w:r>
        <w:rPr>
          <w:b/>
        </w:rPr>
        <w:t xml:space="preserve">• Core Visual Insight: </w:t>
      </w:r>
      <w:r>
        <w:t>The revenue stream experiences recurring, high-frequency fluctuations with significant spikes (such as May 2023 reaching $63,836.84) followed by drop-offs. Visualizing these cycles enables precise inventory planning before peak buying months.</w:t>
      </w:r>
    </w:p>
    <w:p>
      <w:pPr>
        <w:pStyle w:val="Heading1"/>
        <w:keepNext/>
        <w:spacing w:before="280" w:after="80"/>
      </w:pPr>
      <w:r>
        <w:rPr>
          <w:rFonts w:ascii="Arial" w:hAnsi="Arial"/>
          <w:color w:val="2980B9"/>
        </w:rPr>
        <w:t>5. Analytical Conclusion &amp; Dashboard Framework</w:t>
      </w:r>
    </w:p>
    <w:p>
      <w:pPr>
        <w:spacing w:line="300" w:lineRule="auto"/>
      </w:pPr>
      <w:r>
        <w:t>The combination of these visual elements builds a cohesive story: while revenue is strong across multiple core product groups (Chairs, Printers, Laptops), the evenly split status charts point to underlying logistics friction. Future dashboard designs should highlight real-time return metrics alongside performance indicators to better support decision-making.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