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1906"/>
      </w:tblGrid>
      <w:tr>
        <w:trPr>
          <w:trHeight w:val="7600" w:hRule="exact"/>
        </w:trPr>
        <w:tc>
          <w:tcPr>
            <w:tcW w:type="dxa" w:w="11906"/>
            <w:tcBorders>
              <w:top w:val="none" w:color="FFFFFF" w:sz="0"/>
              <w:left w:val="none" w:color="FFFFFF" w:sz="0"/>
              <w:bottom w:val="none" w:color="FFFFFF" w:sz="0"/>
              <w:right w:val="none" w:color="FFFFFF" w:sz="0"/>
            </w:tcBorders>
            <w:shd w:fill="0F2E4A" w:color="auto" w:val="clear"/>
            <w:tcMar>
              <w:top w:type="dxa" w:w="0"/>
              <w:left w:type="dxa" w:w="0"/>
              <w:bottom w:type="dxa" w:w="0"/>
              <w:right w:type="dxa" w:w="0"/>
            </w:tcMar>
            <w:vAlign w:val="center"/>
          </w:tcPr>
          <w:p>
            <w:pPr>
              <w:spacing w:after="160" w:line="200"/>
            </w:pPr>
          </w:p>
          <w:p>
            <w:pPr>
              <w:spacing w:after="200"/>
              <w:jc w:val="center"/>
            </w:pPr>
            <w:r>
              <w:drawing>
                <wp:inline distT="0" distB="0" distL="0" distR="0">
                  <wp:extent cx="3657600"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57600" cy="2581275"/>
                          </a:xfrm>
                          <a:prstGeom prst="rect">
                            <a:avLst/>
                          </a:prstGeom>
                        </pic:spPr>
                      </pic:pic>
                    </a:graphicData>
                  </a:graphic>
                </wp:inline>
              </w:drawing>
            </w:r>
          </w:p>
          <w:p>
            <w:pPr>
              <w:bidi/>
              <w:spacing w:after="60" w:before="0" w:line="300"/>
              <w:jc w:val="center"/>
            </w:pPr>
            <w:r>
              <w:rPr>
                <w:rFonts w:ascii="Calibri" w:cs="Arial" w:hAnsi="Calibri"/>
                <w:b/>
                <w:bCs/>
                <w:i w:val="false"/>
                <w:iCs w:val="false"/>
                <w:caps w:val="false"/>
                <w:color w:val="FFFFFF"/>
                <w:sz w:val="30"/>
                <w:szCs w:val="30"/>
                <w:rtl/>
              </w:rPr>
              <w:t xml:space="preserve">شركة شات للتنمية والتطوير</w:t>
            </w:r>
          </w:p>
          <w:p>
            <w:pPr>
              <w:bidi w:val="false"/>
              <w:spacing w:after="40" w:before="0" w:line="264"/>
              <w:jc w:val="center"/>
            </w:pPr>
            <w:r>
              <w:rPr>
                <w:rFonts w:ascii="Calibri" w:cs="Calibri" w:hAnsi="Calibri"/>
                <w:b/>
                <w:bCs/>
                <w:i w:val="false"/>
                <w:iCs w:val="false"/>
                <w:caps w:val="false"/>
                <w:color w:val="FFFFFF"/>
                <w:sz w:val="30"/>
                <w:szCs w:val="30"/>
                <w:rtl w:val="false"/>
              </w:rPr>
              <w:t xml:space="preserve">SHAT </w:t>
            </w:r>
            <w:r>
              <w:rPr>
                <w:rFonts w:ascii="Calibri" w:cs="Calibri" w:hAnsi="Calibri"/>
                <w:b w:val="false"/>
                <w:bCs w:val="false"/>
                <w:i w:val="false"/>
                <w:iCs w:val="false"/>
                <w:caps w:val="false"/>
                <w:color w:val="CFE0CF"/>
                <w:sz w:val="30"/>
                <w:szCs w:val="30"/>
                <w:rtl w:val="false"/>
              </w:rPr>
              <w:t xml:space="preserve">Development &amp; Growth</w:t>
            </w:r>
          </w:p>
          <w:p>
            <w:pPr>
              <w:bidi w:val="false"/>
              <w:spacing w:after="220" w:before="0" w:line="264"/>
              <w:jc w:val="center"/>
            </w:pPr>
            <w:r>
              <w:rPr>
                <w:rFonts w:ascii="Calibri" w:cs="Calibri" w:hAnsi="Calibri"/>
                <w:b w:val="false"/>
                <w:bCs w:val="false"/>
                <w:i/>
                <w:iCs/>
                <w:caps w:val="false"/>
                <w:color w:val="9FB4C6"/>
                <w:sz w:val="17"/>
                <w:szCs w:val="17"/>
                <w:rtl w:val="false"/>
              </w:rPr>
              <w:t xml:space="preserve">SHAT Développement &amp; Croissance</w:t>
            </w:r>
          </w:p>
          <w:p>
            <w:pPr>
              <w:pBdr>
                <w:bottom w:val="single" w:color="5EA02F" w:sz="8"/>
              </w:pBdr>
              <w:spacing w:after="160" w:line="40"/>
              <w:ind w:left="3400" w:right="3400"/>
              <w:jc w:val="center"/>
            </w:pPr>
            <w:r>
              <w:rPr>
                <w:rFonts w:ascii="Calibri" w:cs="Calibri" w:hAnsi="Calibri"/>
                <w:b w:val="false"/>
                <w:bCs w:val="false"/>
                <w:i w:val="false"/>
                <w:iCs w:val="false"/>
                <w:caps w:val="false"/>
                <w:color w:val="2C3A45"/>
                <w:sz w:val="2"/>
                <w:szCs w:val="2"/>
                <w:rtl w:val="false"/>
              </w:rPr>
              <w:t xml:space="preserve"/>
            </w:r>
          </w:p>
          <w:p>
            <w:pPr>
              <w:bidi w:val="false"/>
              <w:spacing w:after="40" w:before="0" w:line="264"/>
              <w:jc w:val="center"/>
            </w:pPr>
            <w:r>
              <w:rPr>
                <w:rFonts w:ascii="Calibri" w:cs="Calibri" w:hAnsi="Calibri"/>
                <w:b/>
                <w:bCs/>
                <w:i w:val="false"/>
                <w:iCs w:val="false"/>
                <w:caps w:val="false"/>
                <w:color w:val="FFFFFF"/>
                <w:spacing w:val="40"/>
                <w:sz w:val="20"/>
                <w:szCs w:val="20"/>
                <w:rtl w:val="false"/>
              </w:rPr>
              <w:t xml:space="preserve">TRAINING</w:t>
            </w:r>
            <w:r>
              <w:rPr>
                <w:rFonts w:ascii="Calibri" w:cs="Calibri" w:hAnsi="Calibri"/>
                <w:b w:val="false"/>
                <w:bCs w:val="false"/>
                <w:i w:val="false"/>
                <w:iCs w:val="false"/>
                <w:caps w:val="false"/>
                <w:color w:val="5EA02F"/>
                <w:sz w:val="20"/>
                <w:szCs w:val="20"/>
                <w:rtl w:val="false"/>
              </w:rPr>
              <w:t xml:space="preserve">   •   </w:t>
            </w:r>
            <w:r>
              <w:rPr>
                <w:rFonts w:ascii="Calibri" w:cs="Calibri" w:hAnsi="Calibri"/>
                <w:b/>
                <w:bCs/>
                <w:i w:val="false"/>
                <w:iCs w:val="false"/>
                <w:caps w:val="false"/>
                <w:color w:val="FFFFFF"/>
                <w:spacing w:val="40"/>
                <w:sz w:val="20"/>
                <w:szCs w:val="20"/>
                <w:rtl w:val="false"/>
              </w:rPr>
              <w:t xml:space="preserve">CONSULTING</w:t>
            </w:r>
          </w:p>
          <w:p>
            <w:pPr>
              <w:bidi/>
              <w:spacing w:after="20" w:before="0" w:line="264"/>
              <w:jc w:val="center"/>
            </w:pPr>
            <w:r>
              <w:rPr>
                <w:rFonts w:ascii="Calibri" w:cs="Arial" w:hAnsi="Calibri"/>
                <w:b w:val="false"/>
                <w:bCs w:val="false"/>
                <w:i w:val="false"/>
                <w:iCs w:val="false"/>
                <w:caps w:val="false"/>
                <w:color w:val="CFE0CF"/>
                <w:sz w:val="19"/>
                <w:szCs w:val="19"/>
                <w:rtl/>
              </w:rPr>
              <w:t xml:space="preserve">التدريب  •  الاستشارات</w:t>
            </w:r>
          </w:p>
          <w:p>
            <w:pPr>
              <w:bidi w:val="false"/>
              <w:spacing w:after="0" w:before="0" w:line="264"/>
              <w:jc w:val="center"/>
            </w:pPr>
            <w:r>
              <w:rPr>
                <w:rFonts w:ascii="Calibri" w:cs="Calibri" w:hAnsi="Calibri"/>
                <w:b w:val="false"/>
                <w:bCs w:val="false"/>
                <w:i/>
                <w:iCs/>
                <w:caps w:val="false"/>
                <w:color w:val="9FB4C6"/>
                <w:spacing w:val="20"/>
                <w:sz w:val="15"/>
                <w:szCs w:val="15"/>
                <w:rtl w:val="false"/>
              </w:rPr>
              <w:t xml:space="preserve">FORMATION • CONSEIL</w:t>
            </w:r>
          </w:p>
        </w:tc>
      </w:tr>
      <w:tr>
        <w:trPr>
          <w:trHeight w:val="1150" w:hRule="exact"/>
        </w:trPr>
        <w:tc>
          <w:tcPr>
            <w:tcW w:type="dxa" w:w="11906"/>
            <w:tcBorders>
              <w:top w:val="none" w:color="FFFFFF" w:sz="0"/>
              <w:left w:val="none" w:color="FFFFFF" w:sz="0"/>
              <w:bottom w:val="none" w:color="FFFFFF" w:sz="0"/>
              <w:right w:val="none" w:color="FFFFFF" w:sz="0"/>
            </w:tcBorders>
            <w:shd w:fill="4B8834" w:color="auto" w:val="clear"/>
            <w:tcMar>
              <w:top w:type="dxa" w:w="0"/>
              <w:left w:type="dxa" w:w="0"/>
              <w:bottom w:type="dxa" w:w="0"/>
              <w:right w:type="dxa" w:w="0"/>
            </w:tcMar>
            <w:vAlign w:val="center"/>
          </w:tcPr>
          <w:p>
            <w:pPr>
              <w:bidi w:val="false"/>
              <w:spacing w:after="40" w:before="0" w:line="264"/>
              <w:jc w:val="center"/>
            </w:pPr>
            <w:r>
              <w:rPr>
                <w:rFonts w:ascii="Calibri" w:cs="Calibri" w:hAnsi="Calibri"/>
                <w:b/>
                <w:bCs/>
                <w:i w:val="false"/>
                <w:iCs w:val="false"/>
                <w:caps w:val="false"/>
                <w:color w:val="FFFFFF"/>
                <w:spacing w:val="10"/>
                <w:sz w:val="19"/>
                <w:szCs w:val="19"/>
                <w:rtl w:val="false"/>
              </w:rPr>
              <w:t xml:space="preserve">Building Capacity.  Strengthening Institutions.  Advancing Results.</w:t>
            </w:r>
          </w:p>
          <w:p>
            <w:pPr>
              <w:bidi/>
              <w:spacing w:after="0" w:before="0" w:line="264"/>
              <w:jc w:val="center"/>
            </w:pPr>
            <w:r>
              <w:rPr>
                <w:rFonts w:ascii="Calibri" w:cs="Arial" w:hAnsi="Calibri"/>
                <w:b w:val="false"/>
                <w:bCs w:val="false"/>
                <w:i w:val="false"/>
                <w:iCs w:val="false"/>
                <w:caps w:val="false"/>
                <w:color w:val="EAF3E3"/>
                <w:sz w:val="18"/>
                <w:szCs w:val="18"/>
                <w:rtl/>
              </w:rPr>
              <w:t xml:space="preserve">بناء القدرات  •  تعزيز المؤسسات  •  تطوير النتائج</w:t>
            </w:r>
          </w:p>
        </w:tc>
      </w:tr>
      <w:tr>
        <w:trPr>
          <w:trHeight w:val="6300" w:hRule="exact"/>
        </w:trPr>
        <w:tc>
          <w:tcPr>
            <w:tcW w:type="dxa" w:w="11906"/>
            <w:tcBorders>
              <w:top w:val="none" w:color="FFFFFF" w:sz="0"/>
              <w:left w:val="none" w:color="FFFFFF" w:sz="0"/>
              <w:bottom w:val="none" w:color="FFFFFF" w:sz="0"/>
              <w:right w:val="none" w:color="FFFFFF" w:sz="0"/>
            </w:tcBorders>
            <w:shd w:fill="FFFFFF" w:color="auto" w:val="clear"/>
            <w:tcMar>
              <w:top w:type="dxa" w:w="0"/>
              <w:left w:type="dxa" w:w="0"/>
              <w:bottom w:type="dxa" w:w="0"/>
              <w:right w:type="dxa" w:w="0"/>
            </w:tcMar>
            <w:vAlign w:val="center"/>
          </w:tcPr>
          <w:p>
            <w:pPr>
              <w:spacing w:after="120" w:line="200"/>
            </w:pPr>
          </w:p>
          <w:p>
            <w:pPr>
              <w:bidi w:val="false"/>
              <w:spacing w:after="40" w:before="0" w:line="264"/>
              <w:jc w:val="center"/>
            </w:pPr>
            <w:r>
              <w:rPr>
                <w:rFonts w:ascii="Calibri" w:cs="Calibri" w:hAnsi="Calibri"/>
                <w:b/>
                <w:bCs/>
                <w:i w:val="false"/>
                <w:iCs w:val="false"/>
                <w:caps w:val="false"/>
                <w:color w:val="0F2E4A"/>
                <w:spacing w:val="60"/>
                <w:sz w:val="30"/>
                <w:szCs w:val="30"/>
                <w:rtl w:val="false"/>
              </w:rPr>
              <w:t xml:space="preserve">COMPANY PROFILE</w:t>
            </w:r>
          </w:p>
          <w:p>
            <w:pPr>
              <w:bidi/>
              <w:spacing w:after="60" w:before="0" w:line="264"/>
              <w:jc w:val="center"/>
            </w:pPr>
            <w:r>
              <w:rPr>
                <w:rFonts w:ascii="Calibri" w:cs="Arial" w:hAnsi="Calibri"/>
                <w:b w:val="false"/>
                <w:bCs w:val="false"/>
                <w:i w:val="false"/>
                <w:iCs w:val="false"/>
                <w:caps w:val="false"/>
                <w:color w:val="6B7C89"/>
                <w:sz w:val="17"/>
                <w:szCs w:val="17"/>
                <w:rtl/>
              </w:rPr>
              <w:t xml:space="preserve">بروفايل الشركة  •  Profil de l’entreprise</w:t>
            </w:r>
          </w:p>
          <w:p>
            <w:pPr>
              <w:bidi w:val="false"/>
              <w:spacing w:after="0" w:before="0" w:line="264"/>
              <w:jc w:val="center"/>
            </w:pPr>
            <w:r>
              <w:rPr>
                <w:rFonts w:ascii="Calibri" w:cs="Calibri" w:hAnsi="Calibri"/>
                <w:b/>
                <w:bCs/>
                <w:i w:val="false"/>
                <w:iCs w:val="false"/>
                <w:caps w:val="false"/>
                <w:color w:val="4B8834"/>
                <w:spacing w:val="40"/>
                <w:sz w:val="22"/>
                <w:szCs w:val="22"/>
                <w:rtl w:val="false"/>
              </w:rPr>
              <w:t xml:space="preserve">2026</w:t>
            </w:r>
          </w:p>
        </w:tc>
      </w:tr>
      <w:tr>
        <w:trPr>
          <w:trHeight w:val="760" w:hRule="exact"/>
        </w:trPr>
        <w:tc>
          <w:tcPr>
            <w:tcW w:type="dxa" w:w="11906"/>
            <w:tcBorders>
              <w:top w:val="none" w:color="FFFFFF" w:sz="0"/>
              <w:left w:val="none" w:color="FFFFFF" w:sz="0"/>
              <w:bottom w:val="none" w:color="FFFFFF" w:sz="0"/>
              <w:right w:val="none" w:color="FFFFFF" w:sz="0"/>
            </w:tcBorders>
            <w:shd w:fill="0F2E4A" w:color="auto" w:val="clear"/>
            <w:tcMar>
              <w:top w:type="dxa" w:w="0"/>
              <w:left w:type="dxa" w:w="0"/>
              <w:bottom w:type="dxa" w:w="0"/>
              <w:right w:type="dxa" w:w="0"/>
            </w:tcMar>
            <w:vAlign w:val="center"/>
          </w:tcPr>
          <w:p>
            <w:pPr>
              <w:bidi w:val="false"/>
              <w:spacing w:after="0" w:before="0" w:line="264"/>
              <w:jc w:val="center"/>
            </w:pPr>
            <w:r>
              <w:rPr>
                <w:rFonts w:ascii="Calibri" w:cs="Calibri" w:hAnsi="Calibri"/>
                <w:b/>
                <w:bCs/>
                <w:i w:val="false"/>
                <w:iCs w:val="false"/>
                <w:caps w:val="false"/>
                <w:color w:val="FFFFFF"/>
                <w:spacing w:val="30"/>
                <w:sz w:val="15"/>
                <w:szCs w:val="15"/>
                <w:rtl w:val="false"/>
              </w:rPr>
              <w:t xml:space="preserve">PEOPLE</w:t>
            </w:r>
            <w:r>
              <w:rPr>
                <w:rFonts w:ascii="Calibri" w:cs="Calibri" w:hAnsi="Calibri"/>
                <w:b w:val="false"/>
                <w:bCs w:val="false"/>
                <w:i w:val="false"/>
                <w:iCs w:val="false"/>
                <w:caps w:val="false"/>
                <w:color w:val="5EA02F"/>
                <w:sz w:val="15"/>
                <w:szCs w:val="15"/>
                <w:rtl w:val="false"/>
              </w:rPr>
              <w:t xml:space="preserve">   •   </w:t>
            </w:r>
            <w:r>
              <w:rPr>
                <w:rFonts w:ascii="Calibri" w:cs="Calibri" w:hAnsi="Calibri"/>
                <w:b/>
                <w:bCs/>
                <w:i w:val="false"/>
                <w:iCs w:val="false"/>
                <w:caps w:val="false"/>
                <w:color w:val="FFFFFF"/>
                <w:spacing w:val="30"/>
                <w:sz w:val="15"/>
                <w:szCs w:val="15"/>
                <w:rtl w:val="false"/>
              </w:rPr>
              <w:t xml:space="preserve">SKILLS</w:t>
            </w:r>
            <w:r>
              <w:rPr>
                <w:rFonts w:ascii="Calibri" w:cs="Calibri" w:hAnsi="Calibri"/>
                <w:b w:val="false"/>
                <w:bCs w:val="false"/>
                <w:i w:val="false"/>
                <w:iCs w:val="false"/>
                <w:caps w:val="false"/>
                <w:color w:val="5EA02F"/>
                <w:sz w:val="15"/>
                <w:szCs w:val="15"/>
                <w:rtl w:val="false"/>
              </w:rPr>
              <w:t xml:space="preserve">   •   </w:t>
            </w:r>
            <w:r>
              <w:rPr>
                <w:rFonts w:ascii="Calibri" w:cs="Calibri" w:hAnsi="Calibri"/>
                <w:b/>
                <w:bCs/>
                <w:i w:val="false"/>
                <w:iCs w:val="false"/>
                <w:caps w:val="false"/>
                <w:color w:val="FFFFFF"/>
                <w:spacing w:val="30"/>
                <w:sz w:val="15"/>
                <w:szCs w:val="15"/>
                <w:rtl w:val="false"/>
              </w:rPr>
              <w:t xml:space="preserve">A BRIGHTER TOMORROW</w:t>
            </w:r>
          </w:p>
        </w:tc>
      </w:tr>
    </w:tbl>
    <w:p>
      <w:pPr>
        <w:sectPr>
          <w:pgSz w:w="11906" w:h="16838" w:orient="portrait"/>
          <w:pgMar w:top="0" w:right="0" w:bottom="0" w:left="0" w:header="0" w:footer="0" w:gutter="0"/>
          <w:pgNumType/>
          <w:docGrid w:linePitch="360"/>
        </w:sectPr>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01</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About SHAT</w:t>
            </w:r>
          </w:p>
          <w:p>
            <w:pPr>
              <w:bidi w:val="false"/>
              <w:spacing w:after="0" w:before="0" w:line="200"/>
            </w:pPr>
            <w:r>
              <w:rPr>
                <w:rFonts w:ascii="Calibri" w:cs="Calibri" w:hAnsi="Calibri"/>
                <w:b w:val="false"/>
                <w:bCs w:val="false"/>
                <w:i/>
                <w:iCs/>
                <w:caps w:val="false"/>
                <w:color w:val="6B7C89"/>
                <w:sz w:val="15"/>
                <w:szCs w:val="15"/>
                <w:rtl w:val="false"/>
              </w:rPr>
              <w:t xml:space="preserve">À propos de SHAT</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نبذة عن شات</w:t>
            </w:r>
          </w:p>
        </w:tc>
      </w:tr>
    </w:tbl>
    <w:p>
      <w:pPr>
        <w:spacing w:after="120" w:line="200"/>
      </w:pPr>
    </w:p>
    <w:p>
      <w:pPr>
        <w:bidi w:val="false"/>
        <w:spacing w:after="60" w:before="60" w:line="264"/>
      </w:pPr>
      <w:r>
        <w:rPr>
          <w:rFonts w:ascii="Calibri" w:cs="Calibri" w:hAnsi="Calibri"/>
          <w:b/>
          <w:bCs/>
          <w:i w:val="false"/>
          <w:iCs w:val="false"/>
          <w:caps/>
          <w:color w:val="4B8834"/>
          <w:spacing w:val="20"/>
          <w:sz w:val="17"/>
          <w:szCs w:val="17"/>
          <w:rtl w:val="false"/>
        </w:rPr>
        <w:t xml:space="preserve">العربية</w:t>
      </w:r>
    </w:p>
    <w:p>
      <w:pPr>
        <w:bidi/>
        <w:spacing w:after="140" w:before="0" w:line="300"/>
        <w:jc w:val="right"/>
      </w:pPr>
      <w:r>
        <w:rPr>
          <w:rFonts w:ascii="Calibri" w:cs="Arial" w:hAnsi="Calibri"/>
          <w:b/>
          <w:bCs/>
          <w:i w:val="false"/>
          <w:iCs w:val="false"/>
          <w:caps w:val="false"/>
          <w:color w:val="0F2E4A"/>
          <w:sz w:val="20"/>
          <w:szCs w:val="20"/>
          <w:rtl/>
        </w:rPr>
        <w:t xml:space="preserve">شركة شات للتنمية والتطوير </w:t>
      </w:r>
      <w:r>
        <w:rPr>
          <w:rFonts w:ascii="Calibri" w:cs="Arial" w:hAnsi="Calibri"/>
          <w:b w:val="false"/>
          <w:bCs w:val="false"/>
          <w:i w:val="false"/>
          <w:iCs w:val="false"/>
          <w:caps w:val="false"/>
          <w:color w:val="2C3A45"/>
          <w:sz w:val="20"/>
          <w:szCs w:val="20"/>
          <w:rtl/>
        </w:rPr>
        <w:t xml:space="preserve">شركة متخصصة في </w:t>
      </w:r>
      <w:r>
        <w:rPr>
          <w:rFonts w:ascii="Calibri" w:cs="Arial" w:hAnsi="Calibri"/>
          <w:b/>
          <w:bCs/>
          <w:i w:val="false"/>
          <w:iCs w:val="false"/>
          <w:caps w:val="false"/>
          <w:color w:val="4B8834"/>
          <w:sz w:val="20"/>
          <w:szCs w:val="20"/>
          <w:rtl/>
        </w:rPr>
        <w:t xml:space="preserve">التدريب وبناء القدرات والاستشارات والتطوير المؤسسي</w:t>
      </w:r>
      <w:r>
        <w:rPr>
          <w:rFonts w:ascii="Calibri" w:cs="Arial" w:hAnsi="Calibri"/>
          <w:b w:val="false"/>
          <w:bCs w:val="false"/>
          <w:i w:val="false"/>
          <w:iCs w:val="false"/>
          <w:caps w:val="false"/>
          <w:color w:val="2C3A45"/>
          <w:sz w:val="20"/>
          <w:szCs w:val="20"/>
          <w:rtl/>
        </w:rPr>
        <w:t xml:space="preserve">، تعمل مع الأفراد والمؤسسات والمنظمات على تطوير الكفاءات، وتعزيز الأنظمة المؤسسية، ورفع جودة البرامج والتدخلات وتحسين النتائج.</w:t>
      </w:r>
    </w:p>
    <w:p>
      <w:pPr>
        <w:bidi/>
        <w:spacing w:after="140" w:before="0" w:line="300"/>
        <w:jc w:val="right"/>
      </w:pPr>
      <w:r>
        <w:rPr>
          <w:rFonts w:ascii="Calibri" w:cs="Arial" w:hAnsi="Calibri"/>
          <w:b w:val="false"/>
          <w:bCs w:val="false"/>
          <w:i w:val="false"/>
          <w:iCs w:val="false"/>
          <w:caps w:val="false"/>
          <w:color w:val="2C3A45"/>
          <w:sz w:val="20"/>
          <w:szCs w:val="20"/>
          <w:rtl/>
        </w:rPr>
        <w:t xml:space="preserve">تقدم شات خدماتها من خلال </w:t>
      </w:r>
      <w:r>
        <w:rPr>
          <w:rFonts w:ascii="Calibri" w:cs="Arial" w:hAnsi="Calibri"/>
          <w:b/>
          <w:bCs/>
          <w:i w:val="false"/>
          <w:iCs w:val="false"/>
          <w:caps w:val="false"/>
          <w:color w:val="4B8834"/>
          <w:sz w:val="20"/>
          <w:szCs w:val="20"/>
          <w:rtl/>
        </w:rPr>
        <w:t xml:space="preserve">منهجيات قائمة على الأدلة، وتعلم قائم على الكفاءة، وتحليل مؤسسي، وتقييم منهجي، وتطوير مستمر</w:t>
      </w:r>
      <w:r>
        <w:rPr>
          <w:rFonts w:ascii="Calibri" w:cs="Arial" w:hAnsi="Calibri"/>
          <w:b w:val="false"/>
          <w:bCs w:val="false"/>
          <w:i w:val="false"/>
          <w:iCs w:val="false"/>
          <w:caps w:val="false"/>
          <w:color w:val="2C3A45"/>
          <w:sz w:val="20"/>
          <w:szCs w:val="20"/>
          <w:rtl/>
        </w:rPr>
        <w:t xml:space="preserve">، بالاستناد إلى المبادئ والمعايير الدولية والإنسانية ذات الصلة.</w:t>
      </w:r>
    </w:p>
    <w:p>
      <w:pPr>
        <w:bidi/>
        <w:spacing w:after="140" w:before="0" w:line="300"/>
        <w:jc w:val="right"/>
      </w:pPr>
      <w:r>
        <w:rPr>
          <w:rFonts w:ascii="Calibri" w:cs="Arial" w:hAnsi="Calibri"/>
          <w:b w:val="false"/>
          <w:bCs w:val="false"/>
          <w:i w:val="false"/>
          <w:iCs w:val="false"/>
          <w:caps w:val="false"/>
          <w:color w:val="2C3A45"/>
          <w:sz w:val="20"/>
          <w:szCs w:val="20"/>
          <w:rtl/>
        </w:rPr>
        <w:t xml:space="preserve">وتقوم فلسفة شات على الربط بين </w:t>
      </w:r>
      <w:r>
        <w:rPr>
          <w:rFonts w:ascii="Calibri" w:cs="Arial" w:hAnsi="Calibri"/>
          <w:b/>
          <w:bCs/>
          <w:i w:val="false"/>
          <w:iCs w:val="false"/>
          <w:caps w:val="false"/>
          <w:color w:val="4B8834"/>
          <w:sz w:val="20"/>
          <w:szCs w:val="20"/>
          <w:rtl/>
        </w:rPr>
        <w:t xml:space="preserve">المعرفة والقدرة والممارسة والنتائج</w:t>
      </w:r>
      <w:r>
        <w:rPr>
          <w:rFonts w:ascii="Calibri" w:cs="Arial" w:hAnsi="Calibri"/>
          <w:b w:val="false"/>
          <w:bCs w:val="false"/>
          <w:i w:val="false"/>
          <w:iCs w:val="false"/>
          <w:caps w:val="false"/>
          <w:color w:val="2C3A45"/>
          <w:sz w:val="20"/>
          <w:szCs w:val="20"/>
          <w:rtl/>
        </w:rPr>
        <w:t xml:space="preserve">؛ بحيث لا يقتصر التدخل على نقل المعرفة، بل يمتد إلى تطوير القدرات، وتحسين الممارسات، ودعم المؤسسات في تحويل المعرفة إلى أداء ونتائج قابلة للقياس.</w:t>
      </w:r>
    </w:p>
    <w:p>
      <w:pPr>
        <w:bidi w:val="false"/>
        <w:spacing w:after="60" w:before="60" w:line="264"/>
      </w:pPr>
      <w:r>
        <w:rPr>
          <w:rFonts w:ascii="Calibri" w:cs="Calibri" w:hAnsi="Calibri"/>
          <w:b/>
          <w:bCs/>
          <w:i w:val="false"/>
          <w:iCs w:val="false"/>
          <w:caps/>
          <w:color w:val="4B8834"/>
          <w:spacing w:val="20"/>
          <w:sz w:val="17"/>
          <w:szCs w:val="17"/>
          <w:rtl w:val="false"/>
        </w:rPr>
        <w:t xml:space="preserve">English</w:t>
      </w:r>
    </w:p>
    <w:p>
      <w:pPr>
        <w:bidi w:val="false"/>
        <w:spacing w:after="140" w:before="0" w:line="274"/>
        <w:jc w:val="both"/>
      </w:pPr>
      <w:r>
        <w:rPr>
          <w:rFonts w:ascii="Calibri" w:cs="Calibri" w:hAnsi="Calibri"/>
          <w:b/>
          <w:bCs/>
          <w:i w:val="false"/>
          <w:iCs w:val="false"/>
          <w:caps w:val="false"/>
          <w:color w:val="0F2E4A"/>
          <w:sz w:val="20"/>
          <w:szCs w:val="20"/>
          <w:rtl w:val="false"/>
        </w:rPr>
        <w:t xml:space="preserve">SHAT Development &amp; Growth</w:t>
      </w:r>
      <w:r>
        <w:rPr>
          <w:rFonts w:ascii="Calibri" w:cs="Calibri" w:hAnsi="Calibri"/>
          <w:b w:val="false"/>
          <w:bCs w:val="false"/>
          <w:i w:val="false"/>
          <w:iCs w:val="false"/>
          <w:caps w:val="false"/>
          <w:color w:val="2C3A45"/>
          <w:sz w:val="20"/>
          <w:szCs w:val="20"/>
          <w:rtl w:val="false"/>
        </w:rPr>
        <w:t xml:space="preserve"> is a specialized company in </w:t>
      </w:r>
      <w:r>
        <w:rPr>
          <w:rFonts w:ascii="Calibri" w:cs="Calibri" w:hAnsi="Calibri"/>
          <w:b/>
          <w:bCs/>
          <w:i w:val="false"/>
          <w:iCs w:val="false"/>
          <w:caps w:val="false"/>
          <w:color w:val="4B8834"/>
          <w:sz w:val="20"/>
          <w:szCs w:val="20"/>
          <w:rtl w:val="false"/>
        </w:rPr>
        <w:t xml:space="preserve">training, capacity development, consulting, and institutional development</w:t>
      </w:r>
      <w:r>
        <w:rPr>
          <w:rFonts w:ascii="Calibri" w:cs="Calibri" w:hAnsi="Calibri"/>
          <w:b w:val="false"/>
          <w:bCs w:val="false"/>
          <w:i w:val="false"/>
          <w:iCs w:val="false"/>
          <w:caps w:val="false"/>
          <w:color w:val="2C3A45"/>
          <w:sz w:val="20"/>
          <w:szCs w:val="20"/>
          <w:rtl w:val="false"/>
        </w:rPr>
        <w:t xml:space="preserve">, working with individuals, institutions, and organizations to strengthen competencies, improve institutional systems, enhance programme quality, and advance results.</w:t>
      </w:r>
    </w:p>
    <w:p>
      <w:pPr>
        <w:bidi w:val="false"/>
        <w:spacing w:after="140" w:before="0" w:line="274"/>
        <w:jc w:val="both"/>
      </w:pPr>
      <w:r>
        <w:rPr>
          <w:rFonts w:ascii="Calibri" w:cs="Calibri" w:hAnsi="Calibri"/>
          <w:b w:val="false"/>
          <w:bCs w:val="false"/>
          <w:i w:val="false"/>
          <w:iCs w:val="false"/>
          <w:caps w:val="false"/>
          <w:color w:val="2C3A45"/>
          <w:sz w:val="20"/>
          <w:szCs w:val="20"/>
          <w:rtl w:val="false"/>
        </w:rPr>
        <w:t xml:space="preserve">SHAT delivers its services through </w:t>
      </w:r>
      <w:r>
        <w:rPr>
          <w:rFonts w:ascii="Calibri" w:cs="Calibri" w:hAnsi="Calibri"/>
          <w:b/>
          <w:bCs/>
          <w:i w:val="false"/>
          <w:iCs w:val="false"/>
          <w:caps w:val="false"/>
          <w:color w:val="4B8834"/>
          <w:sz w:val="20"/>
          <w:szCs w:val="20"/>
          <w:rtl w:val="false"/>
        </w:rPr>
        <w:t xml:space="preserve">evidence-based methodologies, competency-based learning, organizational analysis, systematic assessment, and continuous improvement</w:t>
      </w:r>
      <w:r>
        <w:rPr>
          <w:rFonts w:ascii="Calibri" w:cs="Calibri" w:hAnsi="Calibri"/>
          <w:b w:val="false"/>
          <w:bCs w:val="false"/>
          <w:i w:val="false"/>
          <w:iCs w:val="false"/>
          <w:caps w:val="false"/>
          <w:color w:val="2C3A45"/>
          <w:sz w:val="20"/>
          <w:szCs w:val="20"/>
          <w:rtl w:val="false"/>
        </w:rPr>
        <w:t xml:space="preserve">, informed by relevant international and humanitarian principles and standards.</w:t>
      </w:r>
    </w:p>
    <w:p>
      <w:pPr>
        <w:bidi w:val="false"/>
        <w:spacing w:after="140" w:before="0" w:line="274"/>
        <w:jc w:val="both"/>
      </w:pPr>
      <w:r>
        <w:rPr>
          <w:rFonts w:ascii="Calibri" w:cs="Calibri" w:hAnsi="Calibri"/>
          <w:b w:val="false"/>
          <w:bCs w:val="false"/>
          <w:i w:val="false"/>
          <w:iCs w:val="false"/>
          <w:caps w:val="false"/>
          <w:color w:val="2C3A45"/>
          <w:sz w:val="20"/>
          <w:szCs w:val="20"/>
          <w:rtl w:val="false"/>
        </w:rPr>
        <w:t xml:space="preserve">SHAT’s approach connects </w:t>
      </w:r>
      <w:r>
        <w:rPr>
          <w:rFonts w:ascii="Calibri" w:cs="Calibri" w:hAnsi="Calibri"/>
          <w:b/>
          <w:bCs/>
          <w:i w:val="false"/>
          <w:iCs w:val="false"/>
          <w:caps w:val="false"/>
          <w:color w:val="4B8834"/>
          <w:sz w:val="20"/>
          <w:szCs w:val="20"/>
          <w:rtl w:val="false"/>
        </w:rPr>
        <w:t xml:space="preserve">knowledge, capacity, practice, and results</w:t>
      </w:r>
      <w:r>
        <w:rPr>
          <w:rFonts w:ascii="Calibri" w:cs="Calibri" w:hAnsi="Calibri"/>
          <w:b w:val="false"/>
          <w:bCs w:val="false"/>
          <w:i w:val="false"/>
          <w:iCs w:val="false"/>
          <w:caps w:val="false"/>
          <w:color w:val="2C3A45"/>
          <w:sz w:val="20"/>
          <w:szCs w:val="20"/>
          <w:rtl w:val="false"/>
        </w:rPr>
        <w:t xml:space="preserve"> — moving beyond knowledge transfer towards strengthened capabilities, improved practice, and measurable organizational and programme performance.</w:t>
      </w:r>
    </w:p>
    <w:p>
      <w:pPr>
        <w:bidi w:val="false"/>
        <w:spacing w:after="60" w:before="60" w:line="264"/>
      </w:pPr>
      <w:r>
        <w:rPr>
          <w:rFonts w:ascii="Calibri" w:cs="Calibri" w:hAnsi="Calibri"/>
          <w:b/>
          <w:bCs/>
          <w:i w:val="false"/>
          <w:iCs w:val="false"/>
          <w:caps/>
          <w:color w:val="4B8834"/>
          <w:spacing w:val="20"/>
          <w:sz w:val="17"/>
          <w:szCs w:val="17"/>
          <w:rtl w:val="false"/>
        </w:rPr>
        <w:t xml:space="preserve">Français</w:t>
      </w:r>
    </w:p>
    <w:p>
      <w:pPr>
        <w:bidi w:val="false"/>
        <w:spacing w:after="140" w:before="0" w:line="274"/>
        <w:jc w:val="both"/>
      </w:pPr>
      <w:r>
        <w:rPr>
          <w:rFonts w:ascii="Calibri" w:cs="Calibri" w:hAnsi="Calibri"/>
          <w:b/>
          <w:bCs/>
          <w:i w:val="false"/>
          <w:iCs w:val="false"/>
          <w:caps w:val="false"/>
          <w:color w:val="0F2E4A"/>
          <w:sz w:val="20"/>
          <w:szCs w:val="20"/>
          <w:rtl w:val="false"/>
        </w:rPr>
        <w:t xml:space="preserve">SHAT Développement &amp; Croissance</w:t>
      </w:r>
      <w:r>
        <w:rPr>
          <w:rFonts w:ascii="Calibri" w:cs="Calibri" w:hAnsi="Calibri"/>
          <w:b w:val="false"/>
          <w:bCs w:val="false"/>
          <w:i w:val="false"/>
          <w:iCs w:val="false"/>
          <w:caps w:val="false"/>
          <w:color w:val="2C3A45"/>
          <w:sz w:val="20"/>
          <w:szCs w:val="20"/>
          <w:rtl w:val="false"/>
        </w:rPr>
        <w:t xml:space="preserve"> est une société spécialisée dans la formation, le renforcement des capacités, le conseil et le développement institutionnel. Elle accompagne les individus, institutions et organisations dans le renforcement des compétences, l’amélioration des systèmes institutionnels, la qualité des programmes et l’amélioration des résultats.</w:t>
      </w:r>
    </w:p>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02</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What We Do</w:t>
            </w:r>
          </w:p>
          <w:p>
            <w:pPr>
              <w:bidi w:val="false"/>
              <w:spacing w:after="0" w:before="0" w:line="200"/>
            </w:pPr>
            <w:r>
              <w:rPr>
                <w:rFonts w:ascii="Calibri" w:cs="Calibri" w:hAnsi="Calibri"/>
                <w:b w:val="false"/>
                <w:bCs w:val="false"/>
                <w:i/>
                <w:iCs/>
                <w:caps w:val="false"/>
                <w:color w:val="6B7C89"/>
                <w:sz w:val="15"/>
                <w:szCs w:val="15"/>
                <w:rtl w:val="false"/>
              </w:rPr>
              <w:t xml:space="preserve">Nos interventions</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ما الذي نقدمه؟</w:t>
            </w:r>
          </w:p>
        </w:tc>
      </w:tr>
    </w:tbl>
    <w:p>
      <w:pPr>
        <w:spacing w:after="120" w:line="200"/>
      </w:pPr>
    </w:p>
    <w:p>
      <w:pPr>
        <w:bidi w:val="false"/>
        <w:spacing w:after="20" w:before="0" w:line="264"/>
      </w:pPr>
      <w:r>
        <w:rPr>
          <w:rFonts w:ascii="Calibri" w:cs="Calibri" w:hAnsi="Calibri"/>
          <w:b/>
          <w:bCs/>
          <w:i w:val="false"/>
          <w:iCs w:val="false"/>
          <w:caps w:val="false"/>
          <w:color w:val="4B8834"/>
          <w:sz w:val="22"/>
          <w:szCs w:val="22"/>
          <w:rtl w:val="false"/>
        </w:rPr>
        <w:t xml:space="preserve">01   </w:t>
      </w:r>
      <w:r>
        <w:rPr>
          <w:rFonts w:ascii="Calibri" w:cs="Calibri" w:hAnsi="Calibri"/>
          <w:b/>
          <w:bCs/>
          <w:i w:val="false"/>
          <w:iCs w:val="false"/>
          <w:caps w:val="false"/>
          <w:color w:val="0F2E4A"/>
          <w:sz w:val="22"/>
          <w:szCs w:val="22"/>
          <w:rtl w:val="false"/>
        </w:rPr>
        <w:t xml:space="preserve">Training &amp; Capacity Development</w:t>
      </w:r>
    </w:p>
    <w:p>
      <w:pPr>
        <w:bidi/>
        <w:spacing w:after="120" w:before="0" w:line="264"/>
      </w:pPr>
      <w:r>
        <w:rPr>
          <w:rFonts w:ascii="Calibri" w:cs="Arial" w:hAnsi="Calibri"/>
          <w:b/>
          <w:bCs/>
          <w:i w:val="false"/>
          <w:iCs w:val="false"/>
          <w:caps w:val="false"/>
          <w:color w:val="0F2E4A"/>
          <w:sz w:val="20"/>
          <w:szCs w:val="20"/>
          <w:rtl/>
        </w:rPr>
        <w:t xml:space="preserve">التدريب وبناء القدرات</w:t>
      </w:r>
      <w:r>
        <w:rPr>
          <w:rFonts w:ascii="Calibri" w:cs="Calibri" w:hAnsi="Calibri"/>
          <w:b w:val="false"/>
          <w:bCs w:val="false"/>
          <w:i/>
          <w:iCs/>
          <w:caps w:val="false"/>
          <w:color w:val="6B7C89"/>
          <w:sz w:val="15"/>
          <w:szCs w:val="15"/>
          <w:rtl w:val="false"/>
        </w:rPr>
        <w:t xml:space="preserve">   •   Formation &amp; Renforcement des capacités</w:t>
      </w:r>
    </w:p>
    <w:p>
      <w:pPr>
        <w:bidi/>
        <w:spacing w:after="140" w:before="0" w:line="300"/>
        <w:jc w:val="right"/>
      </w:pPr>
      <w:r>
        <w:rPr>
          <w:rFonts w:ascii="Calibri" w:cs="Arial" w:hAnsi="Calibri"/>
          <w:b w:val="false"/>
          <w:bCs w:val="false"/>
          <w:i w:val="false"/>
          <w:iCs w:val="false"/>
          <w:caps w:val="false"/>
          <w:color w:val="2C3A45"/>
          <w:sz w:val="20"/>
          <w:szCs w:val="20"/>
          <w:rtl/>
        </w:rPr>
        <w:t xml:space="preserve">تقدم شات برامج تدريبية </w:t>
      </w:r>
      <w:r>
        <w:rPr>
          <w:rFonts w:ascii="Calibri" w:cs="Arial" w:hAnsi="Calibri"/>
          <w:b/>
          <w:bCs/>
          <w:i w:val="false"/>
          <w:iCs w:val="false"/>
          <w:caps w:val="false"/>
          <w:color w:val="4B8834"/>
          <w:sz w:val="20"/>
          <w:szCs w:val="20"/>
          <w:rtl/>
        </w:rPr>
        <w:t xml:space="preserve">متخصصة، تطبيقية، قائمة على الاحتياجات والكفاءات</w:t>
      </w:r>
      <w:r>
        <w:rPr>
          <w:rFonts w:ascii="Calibri" w:cs="Arial" w:hAnsi="Calibri"/>
          <w:b w:val="false"/>
          <w:bCs w:val="false"/>
          <w:i w:val="false"/>
          <w:iCs w:val="false"/>
          <w:caps w:val="false"/>
          <w:color w:val="2C3A45"/>
          <w:sz w:val="20"/>
          <w:szCs w:val="20"/>
          <w:rtl/>
        </w:rPr>
        <w:t xml:space="preserve">، مصممة لتعزيز المعرفة والمهارات والسلوكيات المهنية، وربط مخرجات التعلم بالأداء الفعلي.</w:t>
      </w:r>
    </w:p>
    <w:p>
      <w:pPr>
        <w:bidi w:val="false"/>
        <w:spacing w:after="100" w:before="0" w:line="264"/>
      </w:pPr>
      <w:r>
        <w:rPr>
          <w:rFonts w:ascii="Calibri" w:cs="Calibri" w:hAnsi="Calibri"/>
          <w:b/>
          <w:bCs/>
          <w:i w:val="false"/>
          <w:iCs w:val="false"/>
          <w:caps w:val="false"/>
          <w:color w:val="0F2E4A"/>
          <w:sz w:val="17"/>
          <w:szCs w:val="17"/>
          <w:rtl w:val="false"/>
        </w:rPr>
        <w:t xml:space="preserve">Training system  •  </w:t>
      </w:r>
      <w:r>
        <w:rPr>
          <w:rFonts w:ascii="Calibri" w:cs="Arial" w:hAnsi="Calibri"/>
          <w:b/>
          <w:bCs/>
          <w:i w:val="false"/>
          <w:iCs w:val="false"/>
          <w:caps w:val="false"/>
          <w:color w:val="4B8834"/>
          <w:sz w:val="17"/>
          <w:szCs w:val="17"/>
          <w:rtl/>
        </w:rPr>
        <w:t xml:space="preserve">منظومة التدريب</w:t>
      </w: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932"/>
        <w:gridCol w:w="4932"/>
      </w:tblGrid>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Training Needs Assessment</w:t>
            </w:r>
          </w:p>
          <w:p>
            <w:pPr>
              <w:bidi/>
              <w:spacing w:after="0" w:before="0" w:line="230"/>
              <w:jc w:val="right"/>
            </w:pPr>
            <w:r>
              <w:rPr>
                <w:rFonts w:ascii="Calibri" w:cs="Arial" w:hAnsi="Calibri"/>
                <w:b w:val="false"/>
                <w:bCs w:val="false"/>
                <w:i w:val="false"/>
                <w:iCs w:val="false"/>
                <w:caps w:val="false"/>
                <w:color w:val="4B8834"/>
                <w:sz w:val="18"/>
                <w:szCs w:val="18"/>
                <w:rtl/>
              </w:rPr>
              <w:t xml:space="preserve">تحليل الاحتياجات التدريبية</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Competency-Based Learning</w:t>
            </w:r>
          </w:p>
          <w:p>
            <w:pPr>
              <w:bidi/>
              <w:spacing w:after="0" w:before="0" w:line="230"/>
              <w:jc w:val="right"/>
            </w:pPr>
            <w:r>
              <w:rPr>
                <w:rFonts w:ascii="Calibri" w:cs="Arial" w:hAnsi="Calibri"/>
                <w:b w:val="false"/>
                <w:bCs w:val="false"/>
                <w:i w:val="false"/>
                <w:iCs w:val="false"/>
                <w:caps w:val="false"/>
                <w:color w:val="4B8834"/>
                <w:sz w:val="18"/>
                <w:szCs w:val="18"/>
                <w:rtl/>
              </w:rPr>
              <w:t xml:space="preserve">التعلم القائم على الكفاءات</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Programme &amp; Curriculum Design</w:t>
            </w:r>
          </w:p>
          <w:p>
            <w:pPr>
              <w:bidi/>
              <w:spacing w:after="0" w:before="0" w:line="230"/>
              <w:jc w:val="right"/>
            </w:pPr>
            <w:r>
              <w:rPr>
                <w:rFonts w:ascii="Calibri" w:cs="Arial" w:hAnsi="Calibri"/>
                <w:b w:val="false"/>
                <w:bCs w:val="false"/>
                <w:i w:val="false"/>
                <w:iCs w:val="false"/>
                <w:caps w:val="false"/>
                <w:color w:val="4B8834"/>
                <w:sz w:val="18"/>
                <w:szCs w:val="18"/>
                <w:rtl/>
              </w:rPr>
              <w:t xml:space="preserve">تصميم البرامج والمناهج</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Practical &amp; Experiential Learning</w:t>
            </w:r>
          </w:p>
          <w:p>
            <w:pPr>
              <w:bidi/>
              <w:spacing w:after="0" w:before="0" w:line="230"/>
              <w:jc w:val="right"/>
            </w:pPr>
            <w:r>
              <w:rPr>
                <w:rFonts w:ascii="Calibri" w:cs="Arial" w:hAnsi="Calibri"/>
                <w:b w:val="false"/>
                <w:bCs w:val="false"/>
                <w:i w:val="false"/>
                <w:iCs w:val="false"/>
                <w:caps w:val="false"/>
                <w:color w:val="4B8834"/>
                <w:sz w:val="18"/>
                <w:szCs w:val="18"/>
                <w:rtl/>
              </w:rPr>
              <w:t xml:space="preserve">التعلم العملي والتجريبي</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Training of Trainers — TOT</w:t>
            </w:r>
          </w:p>
          <w:p>
            <w:pPr>
              <w:bidi/>
              <w:spacing w:after="0" w:before="0" w:line="230"/>
              <w:jc w:val="right"/>
            </w:pPr>
            <w:r>
              <w:rPr>
                <w:rFonts w:ascii="Calibri" w:cs="Arial" w:hAnsi="Calibri"/>
                <w:b w:val="false"/>
                <w:bCs w:val="false"/>
                <w:i w:val="false"/>
                <w:iCs w:val="false"/>
                <w:caps w:val="false"/>
                <w:color w:val="4B8834"/>
                <w:sz w:val="18"/>
                <w:szCs w:val="18"/>
                <w:rtl/>
              </w:rPr>
              <w:t xml:space="preserve">تدريب المدربين</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Institutional Capacity Building</w:t>
            </w:r>
          </w:p>
          <w:p>
            <w:pPr>
              <w:bidi/>
              <w:spacing w:after="0" w:before="0" w:line="230"/>
              <w:jc w:val="right"/>
            </w:pPr>
            <w:r>
              <w:rPr>
                <w:rFonts w:ascii="Calibri" w:cs="Arial" w:hAnsi="Calibri"/>
                <w:b w:val="false"/>
                <w:bCs w:val="false"/>
                <w:i w:val="false"/>
                <w:iCs w:val="false"/>
                <w:caps w:val="false"/>
                <w:color w:val="4B8834"/>
                <w:sz w:val="18"/>
                <w:szCs w:val="18"/>
                <w:rtl/>
              </w:rPr>
              <w:t xml:space="preserve">بناء القدرات المؤسسية</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Learning Outcome Assessment</w:t>
            </w:r>
          </w:p>
          <w:p>
            <w:pPr>
              <w:bidi/>
              <w:spacing w:after="0" w:before="0" w:line="230"/>
              <w:jc w:val="right"/>
            </w:pPr>
            <w:r>
              <w:rPr>
                <w:rFonts w:ascii="Calibri" w:cs="Arial" w:hAnsi="Calibri"/>
                <w:b w:val="false"/>
                <w:bCs w:val="false"/>
                <w:i w:val="false"/>
                <w:iCs w:val="false"/>
                <w:caps w:val="false"/>
                <w:color w:val="4B8834"/>
                <w:sz w:val="18"/>
                <w:szCs w:val="18"/>
                <w:rtl/>
              </w:rPr>
              <w:t xml:space="preserve">قياس مخرجات التعلم</w:t>
            </w:r>
          </w:p>
        </w:tc>
        <w:tc>
          <w:tcPr>
            <w:tcW w:type="dxa" w:w="493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bl>
    <w:p>
      <w:pPr>
        <w:spacing w:after="80" w:line="200"/>
      </w:pPr>
    </w:p>
    <w:p>
      <w:pPr>
        <w:bidi w:val="false"/>
        <w:spacing w:after="100" w:before="0" w:line="264"/>
      </w:pPr>
      <w:r>
        <w:rPr>
          <w:rFonts w:ascii="Calibri" w:cs="Calibri" w:hAnsi="Calibri"/>
          <w:b/>
          <w:bCs/>
          <w:i w:val="false"/>
          <w:iCs w:val="false"/>
          <w:caps w:val="false"/>
          <w:color w:val="0F2E4A"/>
          <w:sz w:val="17"/>
          <w:szCs w:val="17"/>
          <w:rtl w:val="false"/>
        </w:rPr>
        <w:t xml:space="preserve">Specialized training portfolio  •  </w:t>
      </w:r>
      <w:r>
        <w:rPr>
          <w:rFonts w:ascii="Calibri" w:cs="Arial" w:hAnsi="Calibri"/>
          <w:b/>
          <w:bCs/>
          <w:i w:val="false"/>
          <w:iCs w:val="false"/>
          <w:caps w:val="false"/>
          <w:color w:val="4B8834"/>
          <w:sz w:val="17"/>
          <w:szCs w:val="17"/>
          <w:rtl/>
        </w:rPr>
        <w:t xml:space="preserve">مجالاتنا التدريبية المتخصصة</w:t>
      </w: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932"/>
        <w:gridCol w:w="4932"/>
      </w:tblGrid>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Humanitarian Sector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تأهيل العاملين في المجال الإنساني</w:t>
            </w:r>
          </w:p>
        </w:tc>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Protection &amp; Safeguarding</w:t>
            </w:r>
          </w:p>
          <w:p>
            <w:pPr>
              <w:bidi/>
              <w:spacing w:after="0" w:before="0" w:line="230"/>
              <w:jc w:val="right"/>
            </w:pPr>
            <w:r>
              <w:rPr>
                <w:rFonts w:ascii="Calibri" w:cs="Arial" w:hAnsi="Calibri"/>
                <w:b w:val="false"/>
                <w:bCs w:val="false"/>
                <w:i w:val="false"/>
                <w:iCs w:val="false"/>
                <w:caps w:val="false"/>
                <w:color w:val="4B8834"/>
                <w:sz w:val="18"/>
                <w:szCs w:val="18"/>
                <w:rtl/>
              </w:rPr>
              <w:t xml:space="preserve">الحماية وصون السلامة</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Women &amp; Child Development &amp; Empowerment</w:t>
            </w:r>
          </w:p>
          <w:p>
            <w:pPr>
              <w:bidi/>
              <w:spacing w:after="0" w:before="0" w:line="230"/>
              <w:jc w:val="right"/>
            </w:pPr>
            <w:r>
              <w:rPr>
                <w:rFonts w:ascii="Calibri" w:cs="Arial" w:hAnsi="Calibri"/>
                <w:b w:val="false"/>
                <w:bCs w:val="false"/>
                <w:i w:val="false"/>
                <w:iCs w:val="false"/>
                <w:caps w:val="false"/>
                <w:color w:val="4B8834"/>
                <w:sz w:val="18"/>
                <w:szCs w:val="18"/>
                <w:rtl/>
              </w:rPr>
              <w:t xml:space="preserve">تنمية وتمكين المرأة والطفل</w:t>
            </w:r>
          </w:p>
        </w:tc>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Youth Development &amp; Empowerment</w:t>
            </w:r>
          </w:p>
          <w:p>
            <w:pPr>
              <w:bidi/>
              <w:spacing w:after="0" w:before="0" w:line="230"/>
              <w:jc w:val="right"/>
            </w:pPr>
            <w:r>
              <w:rPr>
                <w:rFonts w:ascii="Calibri" w:cs="Arial" w:hAnsi="Calibri"/>
                <w:b w:val="false"/>
                <w:bCs w:val="false"/>
                <w:i w:val="false"/>
                <w:iCs w:val="false"/>
                <w:caps w:val="false"/>
                <w:color w:val="4B8834"/>
                <w:sz w:val="18"/>
                <w:szCs w:val="18"/>
                <w:rtl/>
              </w:rPr>
              <w:t xml:space="preserve">تنمية وتمكين الشباب</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Education &amp; Teacher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التعليم وتطوير المعلمين</w:t>
            </w:r>
          </w:p>
        </w:tc>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Media &amp; Communication</w:t>
            </w:r>
          </w:p>
          <w:p>
            <w:pPr>
              <w:bidi/>
              <w:spacing w:after="0" w:before="0" w:line="230"/>
              <w:jc w:val="right"/>
            </w:pPr>
            <w:r>
              <w:rPr>
                <w:rFonts w:ascii="Calibri" w:cs="Arial" w:hAnsi="Calibri"/>
                <w:b w:val="false"/>
                <w:bCs w:val="false"/>
                <w:i w:val="false"/>
                <w:iCs w:val="false"/>
                <w:caps w:val="false"/>
                <w:color w:val="4B8834"/>
                <w:sz w:val="18"/>
                <w:szCs w:val="18"/>
                <w:rtl/>
              </w:rPr>
              <w:t xml:space="preserve">الإعلام والاتصال</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Monitoring, Evaluation &amp; Learning</w:t>
            </w:r>
          </w:p>
          <w:p>
            <w:pPr>
              <w:bidi/>
              <w:spacing w:after="0" w:before="0" w:line="230"/>
              <w:jc w:val="right"/>
            </w:pPr>
            <w:r>
              <w:rPr>
                <w:rFonts w:ascii="Calibri" w:cs="Arial" w:hAnsi="Calibri"/>
                <w:b w:val="false"/>
                <w:bCs w:val="false"/>
                <w:i w:val="false"/>
                <w:iCs w:val="false"/>
                <w:caps w:val="false"/>
                <w:color w:val="4B8834"/>
                <w:sz w:val="18"/>
                <w:szCs w:val="18"/>
                <w:rtl/>
              </w:rPr>
              <w:t xml:space="preserve">المتابعة والتقييم والتعلم</w:t>
            </w:r>
          </w:p>
        </w:tc>
        <w:tc>
          <w:tcPr>
            <w:tcW w:type="dxa" w:w="493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bl>
    <w:p>
      <w:pPr>
        <w:pageBreakBefore/>
        <w:spacing w:after="0"/>
      </w:pPr>
    </w:p>
    <w:p>
      <w:pPr>
        <w:bidi w:val="false"/>
        <w:spacing w:after="20" w:before="60" w:line="264"/>
      </w:pPr>
      <w:r>
        <w:rPr>
          <w:rFonts w:ascii="Calibri" w:cs="Calibri" w:hAnsi="Calibri"/>
          <w:b/>
          <w:bCs/>
          <w:i w:val="false"/>
          <w:iCs w:val="false"/>
          <w:caps w:val="false"/>
          <w:color w:val="4B8834"/>
          <w:sz w:val="22"/>
          <w:szCs w:val="22"/>
          <w:rtl w:val="false"/>
        </w:rPr>
        <w:t xml:space="preserve">02   </w:t>
      </w:r>
      <w:r>
        <w:rPr>
          <w:rFonts w:ascii="Calibri" w:cs="Calibri" w:hAnsi="Calibri"/>
          <w:b/>
          <w:bCs/>
          <w:i w:val="false"/>
          <w:iCs w:val="false"/>
          <w:caps w:val="false"/>
          <w:color w:val="0F2E4A"/>
          <w:sz w:val="22"/>
          <w:szCs w:val="22"/>
          <w:rtl w:val="false"/>
        </w:rPr>
        <w:t xml:space="preserve">Consulting &amp; Institutional Development</w:t>
      </w:r>
    </w:p>
    <w:p>
      <w:pPr>
        <w:bidi/>
        <w:spacing w:after="120" w:before="0" w:line="264"/>
      </w:pPr>
      <w:r>
        <w:rPr>
          <w:rFonts w:ascii="Calibri" w:cs="Arial" w:hAnsi="Calibri"/>
          <w:b/>
          <w:bCs/>
          <w:i w:val="false"/>
          <w:iCs w:val="false"/>
          <w:caps w:val="false"/>
          <w:color w:val="0F2E4A"/>
          <w:sz w:val="20"/>
          <w:szCs w:val="20"/>
          <w:rtl/>
        </w:rPr>
        <w:t xml:space="preserve">الاستشارات والتطوير المؤسسي</w:t>
      </w:r>
      <w:r>
        <w:rPr>
          <w:rFonts w:ascii="Calibri" w:cs="Calibri" w:hAnsi="Calibri"/>
          <w:b w:val="false"/>
          <w:bCs w:val="false"/>
          <w:i/>
          <w:iCs/>
          <w:caps w:val="false"/>
          <w:color w:val="6B7C89"/>
          <w:sz w:val="15"/>
          <w:szCs w:val="15"/>
          <w:rtl w:val="false"/>
        </w:rPr>
        <w:t xml:space="preserve">   •   Conseil &amp; Développement institutionnel</w:t>
      </w:r>
    </w:p>
    <w:p>
      <w:pPr>
        <w:bidi/>
        <w:spacing w:after="140" w:before="0" w:line="300"/>
        <w:jc w:val="right"/>
      </w:pPr>
      <w:r>
        <w:rPr>
          <w:rFonts w:ascii="Calibri" w:cs="Arial" w:hAnsi="Calibri"/>
          <w:b w:val="false"/>
          <w:bCs w:val="false"/>
          <w:i w:val="false"/>
          <w:iCs w:val="false"/>
          <w:caps w:val="false"/>
          <w:color w:val="2C3A45"/>
          <w:sz w:val="20"/>
          <w:szCs w:val="20"/>
          <w:rtl/>
        </w:rPr>
        <w:t xml:space="preserve">تساعد شات المؤسسات والمنظمات على </w:t>
      </w:r>
      <w:r>
        <w:rPr>
          <w:rFonts w:ascii="Calibri" w:cs="Arial" w:hAnsi="Calibri"/>
          <w:b/>
          <w:bCs/>
          <w:i w:val="false"/>
          <w:iCs w:val="false"/>
          <w:caps w:val="false"/>
          <w:color w:val="4B8834"/>
          <w:sz w:val="20"/>
          <w:szCs w:val="20"/>
          <w:rtl/>
        </w:rPr>
        <w:t xml:space="preserve">فهم الواقع المؤسسي، وتحديد الفجوات، وبناء الأنظمة، وتطوير السياسات، وتحسين الأداء، وتعزيز جودة البرامج والعمليات.</w:t>
      </w:r>
    </w:p>
    <w:p>
      <w:pPr>
        <w:bidi/>
        <w:spacing w:after="140" w:before="0" w:line="300"/>
        <w:jc w:val="right"/>
      </w:pPr>
      <w:r>
        <w:rPr>
          <w:rFonts w:ascii="Calibri" w:cs="Arial" w:hAnsi="Calibri"/>
          <w:b w:val="false"/>
          <w:bCs w:val="false"/>
          <w:i w:val="false"/>
          <w:iCs w:val="false"/>
          <w:caps w:val="false"/>
          <w:color w:val="2C3A45"/>
          <w:sz w:val="20"/>
          <w:szCs w:val="20"/>
          <w:rtl/>
        </w:rPr>
        <w:t xml:space="preserve">يركز التدخل الاستشاري على الانتقال من </w:t>
      </w:r>
      <w:r>
        <w:rPr>
          <w:rFonts w:ascii="Calibri" w:cs="Arial" w:hAnsi="Calibri"/>
          <w:b/>
          <w:bCs/>
          <w:i w:val="false"/>
          <w:iCs w:val="false"/>
          <w:caps w:val="false"/>
          <w:color w:val="4B8834"/>
          <w:sz w:val="20"/>
          <w:szCs w:val="20"/>
          <w:rtl/>
        </w:rPr>
        <w:t xml:space="preserve">التشخيص إلى التطوير، ومن التوصية إلى التطبيق، ومن التطبيق إلى التحسين المستمر.</w:t>
      </w:r>
    </w:p>
    <w:p>
      <w:pPr>
        <w:bidi w:val="false"/>
        <w:spacing w:after="100" w:before="0" w:line="264"/>
      </w:pPr>
      <w:r>
        <w:rPr>
          <w:rFonts w:ascii="Calibri" w:cs="Calibri" w:hAnsi="Calibri"/>
          <w:b/>
          <w:bCs/>
          <w:i w:val="false"/>
          <w:iCs w:val="false"/>
          <w:caps w:val="false"/>
          <w:color w:val="0F2E4A"/>
          <w:sz w:val="17"/>
          <w:szCs w:val="17"/>
          <w:rtl w:val="false"/>
        </w:rPr>
        <w:t xml:space="preserve">Consulting system  •  </w:t>
      </w:r>
      <w:r>
        <w:rPr>
          <w:rFonts w:ascii="Calibri" w:cs="Arial" w:hAnsi="Calibri"/>
          <w:b/>
          <w:bCs/>
          <w:i w:val="false"/>
          <w:iCs w:val="false"/>
          <w:caps w:val="false"/>
          <w:color w:val="4B8834"/>
          <w:sz w:val="17"/>
          <w:szCs w:val="17"/>
          <w:rtl/>
        </w:rPr>
        <w:t xml:space="preserve">منظومة الاستشارات</w:t>
      </w: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932"/>
        <w:gridCol w:w="4932"/>
      </w:tblGrid>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Institutional Assessment &amp; Organizational Diagnosis</w:t>
            </w:r>
          </w:p>
          <w:p>
            <w:pPr>
              <w:bidi/>
              <w:spacing w:after="0" w:before="0" w:line="230"/>
              <w:jc w:val="right"/>
            </w:pPr>
            <w:r>
              <w:rPr>
                <w:rFonts w:ascii="Calibri" w:cs="Arial" w:hAnsi="Calibri"/>
                <w:b w:val="false"/>
                <w:bCs w:val="false"/>
                <w:i w:val="false"/>
                <w:iCs w:val="false"/>
                <w:caps w:val="false"/>
                <w:color w:val="4B8834"/>
                <w:sz w:val="18"/>
                <w:szCs w:val="18"/>
                <w:rtl/>
              </w:rPr>
              <w:t xml:space="preserve">التقييم والتشخيص المؤسسي</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Strategic Planning</w:t>
            </w:r>
          </w:p>
          <w:p>
            <w:pPr>
              <w:bidi/>
              <w:spacing w:after="0" w:before="0" w:line="230"/>
              <w:jc w:val="right"/>
            </w:pPr>
            <w:r>
              <w:rPr>
                <w:rFonts w:ascii="Calibri" w:cs="Arial" w:hAnsi="Calibri"/>
                <w:b w:val="false"/>
                <w:bCs w:val="false"/>
                <w:i w:val="false"/>
                <w:iCs w:val="false"/>
                <w:caps w:val="false"/>
                <w:color w:val="4B8834"/>
                <w:sz w:val="18"/>
                <w:szCs w:val="18"/>
                <w:rtl/>
              </w:rPr>
              <w:t xml:space="preserve">التخطيط الاستراتيجي</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Organizational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التطوير التنظيمي</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Policies, Procedures &amp; Systems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تطوير السياسات والإجراءات والأنظمة</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Programme &amp; Project Management</w:t>
            </w:r>
          </w:p>
          <w:p>
            <w:pPr>
              <w:bidi/>
              <w:spacing w:after="0" w:before="0" w:line="230"/>
              <w:jc w:val="right"/>
            </w:pPr>
            <w:r>
              <w:rPr>
                <w:rFonts w:ascii="Calibri" w:cs="Arial" w:hAnsi="Calibri"/>
                <w:b w:val="false"/>
                <w:bCs w:val="false"/>
                <w:i w:val="false"/>
                <w:iCs w:val="false"/>
                <w:caps w:val="false"/>
                <w:color w:val="4B8834"/>
                <w:sz w:val="18"/>
                <w:szCs w:val="18"/>
                <w:rtl/>
              </w:rPr>
              <w:t xml:space="preserve">إدارة البرامج والمشاريع</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Human Resources &amp; Capacity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تطوير الموارد البشرية وبناء القدرات</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Performance &amp; Quality Improvement</w:t>
            </w:r>
          </w:p>
          <w:p>
            <w:pPr>
              <w:bidi/>
              <w:spacing w:after="0" w:before="0" w:line="230"/>
              <w:jc w:val="right"/>
            </w:pPr>
            <w:r>
              <w:rPr>
                <w:rFonts w:ascii="Calibri" w:cs="Arial" w:hAnsi="Calibri"/>
                <w:b w:val="false"/>
                <w:bCs w:val="false"/>
                <w:i w:val="false"/>
                <w:iCs w:val="false"/>
                <w:caps w:val="false"/>
                <w:color w:val="4B8834"/>
                <w:sz w:val="18"/>
                <w:szCs w:val="18"/>
                <w:rtl/>
              </w:rPr>
              <w:t xml:space="preserve">تحسين الأداء والجودة</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Monitoring, Evaluation &amp; Learning Systems</w:t>
            </w:r>
          </w:p>
          <w:p>
            <w:pPr>
              <w:bidi/>
              <w:spacing w:after="0" w:before="0" w:line="230"/>
              <w:jc w:val="right"/>
            </w:pPr>
            <w:r>
              <w:rPr>
                <w:rFonts w:ascii="Calibri" w:cs="Arial" w:hAnsi="Calibri"/>
                <w:b w:val="false"/>
                <w:bCs w:val="false"/>
                <w:i w:val="false"/>
                <w:iCs w:val="false"/>
                <w:caps w:val="false"/>
                <w:color w:val="4B8834"/>
                <w:sz w:val="18"/>
                <w:szCs w:val="18"/>
                <w:rtl/>
              </w:rPr>
              <w:t xml:space="preserve">تطوير أنظمة المتابعة والتقييم والتعلم</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bl>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03</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Specialized Consulting Areas</w:t>
            </w:r>
          </w:p>
          <w:p>
            <w:pPr>
              <w:bidi w:val="false"/>
              <w:spacing w:after="0" w:before="0" w:line="200"/>
            </w:pPr>
            <w:r>
              <w:rPr>
                <w:rFonts w:ascii="Calibri" w:cs="Calibri" w:hAnsi="Calibri"/>
                <w:b w:val="false"/>
                <w:bCs w:val="false"/>
                <w:i/>
                <w:iCs/>
                <w:caps w:val="false"/>
                <w:color w:val="6B7C89"/>
                <w:sz w:val="15"/>
                <w:szCs w:val="15"/>
                <w:rtl w:val="false"/>
              </w:rPr>
              <w:t xml:space="preserve">Domaines de conseil spécialisés</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تخصصات استشارية متقدمة</w:t>
            </w:r>
          </w:p>
        </w:tc>
      </w:tr>
    </w:tbl>
    <w:p>
      <w:pPr>
        <w:spacing w:after="12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864"/>
      </w:tblGrid>
      <w:tr>
        <w:tc>
          <w:tcPr>
            <w:tcW w:type="dxa" w:w="9864"/>
            <w:tcBorders>
              <w:top w:val="none" w:color="FFFFFF" w:sz="0"/>
              <w:left w:val="single" w:color="4B8834" w:sz="40"/>
              <w:bottom w:val="none" w:color="FFFFFF" w:sz="0"/>
              <w:right w:val="none" w:color="FFFFFF" w:sz="0"/>
            </w:tcBorders>
            <w:shd w:fill="EDF2F7" w:color="auto" w:val="clear"/>
            <w:tcMar>
              <w:top w:type="dxa" w:w="160"/>
              <w:left w:type="dxa" w:w="260"/>
              <w:bottom w:type="dxa" w:w="160"/>
              <w:right w:type="dxa" w:w="260"/>
            </w:tcMar>
          </w:tcPr>
          <w:p>
            <w:pPr>
              <w:bidi w:val="false"/>
              <w:spacing w:after="100" w:before="0" w:line="264"/>
            </w:pPr>
            <w:r>
              <w:rPr>
                <w:rFonts w:ascii="Calibri" w:cs="Calibri" w:hAnsi="Calibri"/>
                <w:b/>
                <w:bCs/>
                <w:i w:val="false"/>
                <w:iCs w:val="false"/>
                <w:caps w:val="false"/>
                <w:color w:val="0F2E4A"/>
                <w:sz w:val="21"/>
                <w:szCs w:val="21"/>
                <w:rtl w:val="false"/>
              </w:rPr>
              <w:t xml:space="preserve">Protection Consulting</w:t>
            </w:r>
            <w:r>
              <w:rPr>
                <w:rFonts w:ascii="Calibri" w:cs="Calibri" w:hAnsi="Calibri"/>
                <w:b w:val="false"/>
                <w:bCs w:val="false"/>
                <w:i w:val="false"/>
                <w:iCs w:val="false"/>
                <w:caps w:val="false"/>
                <w:color w:val="6B7C89"/>
                <w:sz w:val="18"/>
                <w:szCs w:val="18"/>
                <w:rtl w:val="false"/>
              </w:rPr>
              <w:t xml:space="preserve">   —   </w:t>
            </w:r>
            <w:r>
              <w:rPr>
                <w:rFonts w:ascii="Calibri" w:cs="Arial" w:hAnsi="Calibri"/>
                <w:b/>
                <w:bCs/>
                <w:i w:val="false"/>
                <w:iCs w:val="false"/>
                <w:caps w:val="false"/>
                <w:color w:val="4B8834"/>
                <w:sz w:val="20"/>
                <w:szCs w:val="20"/>
                <w:rtl/>
              </w:rPr>
              <w:t xml:space="preserve">استشارات الحماية</w:t>
            </w:r>
          </w:p>
          <w:p>
            <w:pPr>
              <w:bidi/>
              <w:spacing w:after="140" w:before="0" w:line="300"/>
              <w:jc w:val="right"/>
            </w:pPr>
            <w:r>
              <w:rPr>
                <w:rFonts w:ascii="Calibri" w:cs="Arial" w:hAnsi="Calibri"/>
                <w:b w:val="false"/>
                <w:bCs w:val="false"/>
                <w:i w:val="false"/>
                <w:iCs w:val="false"/>
                <w:caps w:val="false"/>
                <w:color w:val="2C3A45"/>
                <w:sz w:val="20"/>
                <w:szCs w:val="20"/>
                <w:rtl/>
              </w:rPr>
              <w:t xml:space="preserve">تدعم شات المؤسسات في تطوير </w:t>
            </w:r>
            <w:r>
              <w:rPr>
                <w:rFonts w:ascii="Calibri" w:cs="Arial" w:hAnsi="Calibri"/>
                <w:b/>
                <w:bCs/>
                <w:i w:val="false"/>
                <w:iCs w:val="false"/>
                <w:caps w:val="false"/>
                <w:color w:val="0F2E4A"/>
                <w:sz w:val="20"/>
                <w:szCs w:val="20"/>
                <w:rtl/>
              </w:rPr>
              <w:t xml:space="preserve">أطر وسياسات وإجراءات الحماية، وتحليل مخاطر الحماية، وتعزيز الوقاية والاستجابة، وآليات الإبلاغ والإحالة الآمنة، وممارسات صون السلامة.</w:t>
            </w:r>
          </w:p>
          <w:p>
            <w:pPr>
              <w:bidi/>
              <w:spacing w:after="140" w:before="0" w:line="300"/>
              <w:jc w:val="right"/>
            </w:pPr>
            <w:r>
              <w:rPr>
                <w:rFonts w:ascii="Calibri" w:cs="Arial" w:hAnsi="Calibri"/>
                <w:b w:val="false"/>
                <w:bCs w:val="false"/>
                <w:i w:val="false"/>
                <w:iCs w:val="false"/>
                <w:caps w:val="false"/>
                <w:color w:val="2C3A45"/>
                <w:sz w:val="20"/>
                <w:szCs w:val="20"/>
                <w:rtl/>
              </w:rPr>
              <w:t xml:space="preserve">ويستند هذا المجال إلى مبادئ الحماية وحقوق الإنسان، ومبدأ </w:t>
            </w:r>
            <w:r>
              <w:rPr>
                <w:rFonts w:ascii="Calibri" w:cs="Calibri" w:hAnsi="Calibri"/>
                <w:b/>
                <w:bCs/>
                <w:i w:val="false"/>
                <w:iCs w:val="false"/>
                <w:caps w:val="false"/>
                <w:color w:val="4B8834"/>
                <w:sz w:val="20"/>
                <w:szCs w:val="20"/>
                <w:rtl w:val="false"/>
              </w:rPr>
              <w:t xml:space="preserve">Do No Harm</w:t>
            </w:r>
            <w:r>
              <w:rPr>
                <w:rFonts w:ascii="Calibri" w:cs="Arial" w:hAnsi="Calibri"/>
                <w:b w:val="false"/>
                <w:bCs w:val="false"/>
                <w:i w:val="false"/>
                <w:iCs w:val="false"/>
                <w:caps w:val="false"/>
                <w:color w:val="2C3A45"/>
                <w:sz w:val="20"/>
                <w:szCs w:val="20"/>
                <w:rtl/>
              </w:rPr>
              <w:t xml:space="preserve">، والمساءلة، والشمول، والسرية، والوقاية من الاستغلال والانتهاك.</w:t>
            </w:r>
          </w:p>
        </w:tc>
      </w:tr>
    </w:tbl>
    <w:p>
      <w:pPr>
        <w:spacing w:after="12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864"/>
      </w:tblGrid>
      <w:tr>
        <w:tc>
          <w:tcPr>
            <w:tcW w:type="dxa" w:w="9864"/>
            <w:tcBorders>
              <w:top w:val="none" w:color="FFFFFF" w:sz="0"/>
              <w:left w:val="single" w:color="4B8834" w:sz="40"/>
              <w:bottom w:val="none" w:color="FFFFFF" w:sz="0"/>
              <w:right w:val="none" w:color="FFFFFF" w:sz="0"/>
            </w:tcBorders>
            <w:shd w:fill="EEF5E8" w:color="auto" w:val="clear"/>
            <w:tcMar>
              <w:top w:type="dxa" w:w="160"/>
              <w:left w:type="dxa" w:w="260"/>
              <w:bottom w:type="dxa" w:w="160"/>
              <w:right w:type="dxa" w:w="260"/>
            </w:tcMar>
          </w:tcPr>
          <w:p>
            <w:pPr>
              <w:bidi w:val="false"/>
              <w:spacing w:after="100" w:before="0" w:line="264"/>
            </w:pPr>
            <w:r>
              <w:rPr>
                <w:rFonts w:ascii="Calibri" w:cs="Calibri" w:hAnsi="Calibri"/>
                <w:b/>
                <w:bCs/>
                <w:i w:val="false"/>
                <w:iCs w:val="false"/>
                <w:caps w:val="false"/>
                <w:color w:val="0F2E4A"/>
                <w:sz w:val="21"/>
                <w:szCs w:val="21"/>
                <w:rtl w:val="false"/>
              </w:rPr>
              <w:t xml:space="preserve">External Evaluation</w:t>
            </w:r>
            <w:r>
              <w:rPr>
                <w:rFonts w:ascii="Calibri" w:cs="Calibri" w:hAnsi="Calibri"/>
                <w:b w:val="false"/>
                <w:bCs w:val="false"/>
                <w:i w:val="false"/>
                <w:iCs w:val="false"/>
                <w:caps w:val="false"/>
                <w:color w:val="6B7C89"/>
                <w:sz w:val="18"/>
                <w:szCs w:val="18"/>
                <w:rtl w:val="false"/>
              </w:rPr>
              <w:t xml:space="preserve">   —   </w:t>
            </w:r>
            <w:r>
              <w:rPr>
                <w:rFonts w:ascii="Calibri" w:cs="Arial" w:hAnsi="Calibri"/>
                <w:b/>
                <w:bCs/>
                <w:i w:val="false"/>
                <w:iCs w:val="false"/>
                <w:caps w:val="false"/>
                <w:color w:val="4B8834"/>
                <w:sz w:val="20"/>
                <w:szCs w:val="20"/>
                <w:rtl/>
              </w:rPr>
              <w:t xml:space="preserve">التقييم الخارجي</w:t>
            </w:r>
          </w:p>
          <w:p>
            <w:pPr>
              <w:bidi/>
              <w:spacing w:after="140" w:before="0" w:line="300"/>
              <w:jc w:val="right"/>
            </w:pPr>
            <w:r>
              <w:rPr>
                <w:rFonts w:ascii="Calibri" w:cs="Arial" w:hAnsi="Calibri"/>
                <w:b w:val="false"/>
                <w:bCs w:val="false"/>
                <w:i w:val="false"/>
                <w:iCs w:val="false"/>
                <w:caps w:val="false"/>
                <w:color w:val="2C3A45"/>
                <w:sz w:val="20"/>
                <w:szCs w:val="20"/>
                <w:rtl/>
              </w:rPr>
              <w:t xml:space="preserve">تقدم شات خدمات </w:t>
            </w:r>
            <w:r>
              <w:rPr>
                <w:rFonts w:ascii="Calibri" w:cs="Arial" w:hAnsi="Calibri"/>
                <w:b/>
                <w:bCs/>
                <w:i w:val="false"/>
                <w:iCs w:val="false"/>
                <w:caps w:val="false"/>
                <w:color w:val="0F2E4A"/>
                <w:sz w:val="20"/>
                <w:szCs w:val="20"/>
                <w:rtl/>
              </w:rPr>
              <w:t xml:space="preserve">التقييم الخارجي المستقل</w:t>
            </w:r>
            <w:r>
              <w:rPr>
                <w:rFonts w:ascii="Calibri" w:cs="Arial" w:hAnsi="Calibri"/>
                <w:b w:val="false"/>
                <w:bCs w:val="false"/>
                <w:i w:val="false"/>
                <w:iCs w:val="false"/>
                <w:caps w:val="false"/>
                <w:color w:val="2C3A45"/>
                <w:sz w:val="20"/>
                <w:szCs w:val="20"/>
                <w:rtl/>
              </w:rPr>
              <w:t xml:space="preserve"> للبرامج والمشاريع والتدخلات، من خلال منهجيات كمية ونوعية قائمة على الأدلة.</w:t>
            </w:r>
          </w:p>
          <w:p>
            <w:pPr>
              <w:bidi w:val="false"/>
              <w:spacing w:after="60" w:before="40" w:line="264"/>
            </w:pPr>
            <w:r>
              <w:rPr>
                <w:rFonts w:ascii="Calibri" w:cs="Calibri" w:hAnsi="Calibri"/>
                <w:b/>
                <w:bCs/>
                <w:i w:val="false"/>
                <w:iCs w:val="false"/>
                <w:caps w:val="false"/>
                <w:color w:val="0F2E4A"/>
                <w:sz w:val="16"/>
                <w:szCs w:val="16"/>
                <w:rtl w:val="false"/>
              </w:rPr>
              <w:t xml:space="preserve">Evaluation criteria  •  </w:t>
            </w:r>
            <w:r>
              <w:rPr>
                <w:rFonts w:ascii="Calibri" w:cs="Arial" w:hAnsi="Calibri"/>
                <w:b/>
                <w:bCs/>
                <w:i w:val="false"/>
                <w:iCs w:val="false"/>
                <w:caps w:val="false"/>
                <w:color w:val="4B8834"/>
                <w:sz w:val="16"/>
                <w:szCs w:val="16"/>
                <w:rtl/>
              </w:rPr>
              <w:t xml:space="preserve">معايير التقييم</w:t>
            </w:r>
          </w:p>
          <w:p>
            <w:pPr>
              <w:bidi w:val="false"/>
              <w:spacing w:after="30" w:before="0" w:line="264"/>
              <w:jc w:val="center"/>
            </w:pPr>
            <w:r>
              <w:rPr>
                <w:rFonts w:ascii="Calibri" w:cs="Calibri" w:hAnsi="Calibri"/>
                <w:b/>
                <w:bCs/>
                <w:i w:val="false"/>
                <w:iCs w:val="false"/>
                <w:caps w:val="false"/>
                <w:color w:val="0F2E4A"/>
                <w:sz w:val="17"/>
                <w:szCs w:val="17"/>
                <w:rtl w:val="false"/>
              </w:rPr>
              <w:t xml:space="preserve">Relevance  •  Coherence  •  Effectiveness  •  Efficiency  •  Impact  •  Sustainability</w:t>
            </w:r>
          </w:p>
          <w:p>
            <w:pPr>
              <w:bidi/>
              <w:spacing w:after="100" w:before="0" w:line="264"/>
              <w:jc w:val="center"/>
            </w:pPr>
            <w:r>
              <w:rPr>
                <w:rFonts w:ascii="Calibri" w:cs="Arial" w:hAnsi="Calibri"/>
                <w:b w:val="false"/>
                <w:bCs w:val="false"/>
                <w:i w:val="false"/>
                <w:iCs w:val="false"/>
                <w:caps w:val="false"/>
                <w:color w:val="4B8834"/>
                <w:sz w:val="17"/>
                <w:szCs w:val="17"/>
                <w:rtl/>
              </w:rPr>
              <w:t xml:space="preserve">الملاءمة  •  الاتساق  •  الفعالية  •  الكفاءة  •  الأثر  •  الاستدامة</w:t>
            </w:r>
          </w:p>
          <w:p>
            <w:pPr>
              <w:bidi/>
              <w:spacing w:after="140" w:before="0" w:line="300"/>
              <w:jc w:val="right"/>
            </w:pPr>
            <w:r>
              <w:rPr>
                <w:rFonts w:ascii="Calibri" w:cs="Arial" w:hAnsi="Calibri"/>
                <w:b w:val="false"/>
                <w:bCs w:val="false"/>
                <w:i w:val="false"/>
                <w:iCs w:val="false"/>
                <w:caps w:val="false"/>
                <w:color w:val="2C3A45"/>
                <w:sz w:val="20"/>
                <w:szCs w:val="20"/>
                <w:rtl/>
              </w:rPr>
              <w:t xml:space="preserve">وتهدف عمليات التقييم إلى إنتاج </w:t>
            </w:r>
            <w:r>
              <w:rPr>
                <w:rFonts w:ascii="Calibri" w:cs="Arial" w:hAnsi="Calibri"/>
                <w:b/>
                <w:bCs/>
                <w:i w:val="false"/>
                <w:iCs w:val="false"/>
                <w:caps w:val="false"/>
                <w:color w:val="0F2E4A"/>
                <w:sz w:val="20"/>
                <w:szCs w:val="20"/>
                <w:rtl/>
              </w:rPr>
              <w:t xml:space="preserve">أدلة موثوقة، واستخلاص الدروس، ودعم اتخاذ القرار، وتعزيز التعلم المؤسسي، وتحسين جودة التدخلات.</w:t>
            </w:r>
          </w:p>
        </w:tc>
      </w:tr>
    </w:tbl>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04</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Our Delivery Model</w:t>
            </w:r>
          </w:p>
          <w:p>
            <w:pPr>
              <w:bidi w:val="false"/>
              <w:spacing w:after="0" w:before="0" w:line="200"/>
            </w:pPr>
            <w:r>
              <w:rPr>
                <w:rFonts w:ascii="Calibri" w:cs="Calibri" w:hAnsi="Calibri"/>
                <w:b w:val="false"/>
                <w:bCs w:val="false"/>
                <w:i/>
                <w:iCs/>
                <w:caps w:val="false"/>
                <w:color w:val="6B7C89"/>
                <w:sz w:val="15"/>
                <w:szCs w:val="15"/>
                <w:rtl w:val="false"/>
              </w:rPr>
              <w:t xml:space="preserve">Notre modèle d’intervention</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كيف نعمل؟</w:t>
            </w:r>
          </w:p>
        </w:tc>
      </w:tr>
    </w:tbl>
    <w:p>
      <w:pPr>
        <w:spacing w:after="12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822"/>
        <w:gridCol w:w="220"/>
        <w:gridCol w:w="4822"/>
      </w:tblGrid>
      <w:tr>
        <w:tc>
          <w:tcPr>
            <w:tcW w:type="dxa" w:w="4822"/>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4822"/>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20"/>
              <w:gridCol w:w="4202"/>
            </w:tblGrid>
            <w:tr>
              <w:tc>
                <w:tcPr>
                  <w:tcW w:type="dxa" w:w="620"/>
                  <w:tcBorders>
                    <w:top w:val="none" w:color="FFFFFF" w:sz="0"/>
                    <w:left w:val="none" w:color="FFFFFF" w:sz="0"/>
                    <w:bottom w:val="none" w:color="FFFFFF" w:sz="0"/>
                    <w:right w:val="none" w:color="FFFFFF" w:sz="0"/>
                  </w:tcBorders>
                  <w:shd w:fill="0F2E4A" w:color="auto" w:val="clear"/>
                  <w:tcMar>
                    <w:top w:type="dxa" w:w="120"/>
                    <w:left w:type="dxa" w:w="40"/>
                    <w:bottom w:type="dxa" w:w="120"/>
                    <w:right w:type="dxa" w:w="40"/>
                  </w:tcMar>
                  <w:vAlign w:val="center"/>
                </w:tcPr>
                <w:p>
                  <w:pPr>
                    <w:bidi w:val="false"/>
                    <w:spacing w:after="0" w:before="0" w:line="240"/>
                    <w:jc w:val="center"/>
                  </w:pPr>
                  <w:r>
                    <w:rPr>
                      <w:rFonts w:ascii="Calibri" w:cs="Calibri" w:hAnsi="Calibri"/>
                      <w:b/>
                      <w:bCs/>
                      <w:i w:val="false"/>
                      <w:iCs w:val="false"/>
                      <w:caps w:val="false"/>
                      <w:color w:val="FFFFFF"/>
                      <w:sz w:val="30"/>
                      <w:szCs w:val="30"/>
                      <w:rtl w:val="false"/>
                    </w:rPr>
                    <w:t xml:space="preserve">01</w:t>
                  </w:r>
                </w:p>
              </w:tc>
              <w:tc>
                <w:tcPr>
                  <w:tcW w:type="dxa" w:w="4202"/>
                  <w:tcBorders>
                    <w:top w:val="none" w:color="FFFFFF" w:sz="0"/>
                    <w:left w:val="none" w:color="FFFFFF" w:sz="0"/>
                    <w:bottom w:val="none" w:color="FFFFFF" w:sz="0"/>
                    <w:right w:val="none" w:color="FFFFFF" w:sz="0"/>
                  </w:tcBorders>
                  <w:shd w:fill="EDF2F7" w:color="auto" w:val="clear"/>
                  <w:tcMar>
                    <w:top w:type="dxa" w:w="100"/>
                    <w:left w:type="dxa" w:w="180"/>
                    <w:bottom w:type="dxa" w:w="100"/>
                    <w:right w:type="dxa" w:w="140"/>
                  </w:tcMar>
                  <w:vAlign w:val="center"/>
                </w:tcPr>
                <w:p>
                  <w:pPr>
                    <w:bidi w:val="false"/>
                    <w:spacing w:after="20" w:before="0" w:line="224"/>
                  </w:pPr>
                  <w:r>
                    <w:rPr>
                      <w:rFonts w:ascii="Calibri" w:cs="Calibri" w:hAnsi="Calibri"/>
                      <w:b/>
                      <w:bCs/>
                      <w:i w:val="false"/>
                      <w:iCs w:val="false"/>
                      <w:caps w:val="false"/>
                      <w:color w:val="0F2E4A"/>
                      <w:sz w:val="19"/>
                      <w:szCs w:val="19"/>
                      <w:rtl w:val="false"/>
                    </w:rPr>
                    <w:t xml:space="preserve">Understand</w:t>
                  </w:r>
                </w:p>
                <w:p>
                  <w:pPr>
                    <w:bidi/>
                    <w:spacing w:after="0" w:before="0" w:line="220"/>
                    <w:jc w:val="right"/>
                  </w:pPr>
                  <w:r>
                    <w:rPr>
                      <w:rFonts w:ascii="Calibri" w:cs="Arial" w:hAnsi="Calibri"/>
                      <w:b w:val="false"/>
                      <w:bCs w:val="false"/>
                      <w:i w:val="false"/>
                      <w:iCs w:val="false"/>
                      <w:caps w:val="false"/>
                      <w:color w:val="4B8834"/>
                      <w:sz w:val="16"/>
                      <w:szCs w:val="16"/>
                      <w:rtl/>
                    </w:rPr>
                    <w:t xml:space="preserve">فهم الاحتياج والسياق</w:t>
                  </w:r>
                </w:p>
              </w:tc>
            </w:tr>
          </w:tbl>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264"/>
            </w:pPr>
          </w:p>
        </w:tc>
        <w:tc>
          <w:tcPr>
            <w:tcW w:type="dxa" w:w="4822"/>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4822"/>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20"/>
              <w:gridCol w:w="4202"/>
            </w:tblGrid>
            <w:tr>
              <w:tc>
                <w:tcPr>
                  <w:tcW w:type="dxa" w:w="620"/>
                  <w:tcBorders>
                    <w:top w:val="none" w:color="FFFFFF" w:sz="0"/>
                    <w:left w:val="none" w:color="FFFFFF" w:sz="0"/>
                    <w:bottom w:val="none" w:color="FFFFFF" w:sz="0"/>
                    <w:right w:val="none" w:color="FFFFFF" w:sz="0"/>
                  </w:tcBorders>
                  <w:shd w:fill="0F2E4A" w:color="auto" w:val="clear"/>
                  <w:tcMar>
                    <w:top w:type="dxa" w:w="120"/>
                    <w:left w:type="dxa" w:w="40"/>
                    <w:bottom w:type="dxa" w:w="120"/>
                    <w:right w:type="dxa" w:w="40"/>
                  </w:tcMar>
                  <w:vAlign w:val="center"/>
                </w:tcPr>
                <w:p>
                  <w:pPr>
                    <w:bidi w:val="false"/>
                    <w:spacing w:after="0" w:before="0" w:line="240"/>
                    <w:jc w:val="center"/>
                  </w:pPr>
                  <w:r>
                    <w:rPr>
                      <w:rFonts w:ascii="Calibri" w:cs="Calibri" w:hAnsi="Calibri"/>
                      <w:b/>
                      <w:bCs/>
                      <w:i w:val="false"/>
                      <w:iCs w:val="false"/>
                      <w:caps w:val="false"/>
                      <w:color w:val="FFFFFF"/>
                      <w:sz w:val="30"/>
                      <w:szCs w:val="30"/>
                      <w:rtl w:val="false"/>
                    </w:rPr>
                    <w:t xml:space="preserve">02</w:t>
                  </w:r>
                </w:p>
              </w:tc>
              <w:tc>
                <w:tcPr>
                  <w:tcW w:type="dxa" w:w="4202"/>
                  <w:tcBorders>
                    <w:top w:val="none" w:color="FFFFFF" w:sz="0"/>
                    <w:left w:val="none" w:color="FFFFFF" w:sz="0"/>
                    <w:bottom w:val="none" w:color="FFFFFF" w:sz="0"/>
                    <w:right w:val="none" w:color="FFFFFF" w:sz="0"/>
                  </w:tcBorders>
                  <w:shd w:fill="EDF2F7" w:color="auto" w:val="clear"/>
                  <w:tcMar>
                    <w:top w:type="dxa" w:w="100"/>
                    <w:left w:type="dxa" w:w="180"/>
                    <w:bottom w:type="dxa" w:w="100"/>
                    <w:right w:type="dxa" w:w="140"/>
                  </w:tcMar>
                  <w:vAlign w:val="center"/>
                </w:tcPr>
                <w:p>
                  <w:pPr>
                    <w:bidi w:val="false"/>
                    <w:spacing w:after="20" w:before="0" w:line="224"/>
                  </w:pPr>
                  <w:r>
                    <w:rPr>
                      <w:rFonts w:ascii="Calibri" w:cs="Calibri" w:hAnsi="Calibri"/>
                      <w:b/>
                      <w:bCs/>
                      <w:i w:val="false"/>
                      <w:iCs w:val="false"/>
                      <w:caps w:val="false"/>
                      <w:color w:val="0F2E4A"/>
                      <w:sz w:val="19"/>
                      <w:szCs w:val="19"/>
                      <w:rtl w:val="false"/>
                    </w:rPr>
                    <w:t xml:space="preserve">Assess</w:t>
                  </w:r>
                </w:p>
                <w:p>
                  <w:pPr>
                    <w:bidi/>
                    <w:spacing w:after="0" w:before="0" w:line="220"/>
                    <w:jc w:val="right"/>
                  </w:pPr>
                  <w:r>
                    <w:rPr>
                      <w:rFonts w:ascii="Calibri" w:cs="Arial" w:hAnsi="Calibri"/>
                      <w:b w:val="false"/>
                      <w:bCs w:val="false"/>
                      <w:i w:val="false"/>
                      <w:iCs w:val="false"/>
                      <w:caps w:val="false"/>
                      <w:color w:val="4B8834"/>
                      <w:sz w:val="16"/>
                      <w:szCs w:val="16"/>
                      <w:rtl/>
                    </w:rPr>
                    <w:t xml:space="preserve">التشخيص وتحليل الفجوات</w:t>
                  </w:r>
                </w:p>
              </w:tc>
            </w:tr>
          </w:tbl>
          <w:p/>
        </w:tc>
      </w:tr>
      <w:tr>
        <w:trPr>
          <w:trHeight w:val="130" w:hRule="exact"/>
        </w:trPr>
        <w:tc>
          <w:tcPr>
            <w:tcW w:type="dxa" w:w="482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80"/>
            </w:pPr>
          </w:p>
        </w:tc>
        <w:tc>
          <w:tcPr>
            <w:tcW w:type="dxa" w:w="220"/>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c>
          <w:tcPr>
            <w:tcW w:type="dxa" w:w="482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r>
      <w:tr>
        <w:tc>
          <w:tcPr>
            <w:tcW w:type="dxa" w:w="4822"/>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4822"/>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20"/>
              <w:gridCol w:w="4202"/>
            </w:tblGrid>
            <w:tr>
              <w:tc>
                <w:tcPr>
                  <w:tcW w:type="dxa" w:w="620"/>
                  <w:tcBorders>
                    <w:top w:val="none" w:color="FFFFFF" w:sz="0"/>
                    <w:left w:val="none" w:color="FFFFFF" w:sz="0"/>
                    <w:bottom w:val="none" w:color="FFFFFF" w:sz="0"/>
                    <w:right w:val="none" w:color="FFFFFF" w:sz="0"/>
                  </w:tcBorders>
                  <w:shd w:fill="0F2E4A" w:color="auto" w:val="clear"/>
                  <w:tcMar>
                    <w:top w:type="dxa" w:w="120"/>
                    <w:left w:type="dxa" w:w="40"/>
                    <w:bottom w:type="dxa" w:w="120"/>
                    <w:right w:type="dxa" w:w="40"/>
                  </w:tcMar>
                  <w:vAlign w:val="center"/>
                </w:tcPr>
                <w:p>
                  <w:pPr>
                    <w:bidi w:val="false"/>
                    <w:spacing w:after="0" w:before="0" w:line="240"/>
                    <w:jc w:val="center"/>
                  </w:pPr>
                  <w:r>
                    <w:rPr>
                      <w:rFonts w:ascii="Calibri" w:cs="Calibri" w:hAnsi="Calibri"/>
                      <w:b/>
                      <w:bCs/>
                      <w:i w:val="false"/>
                      <w:iCs w:val="false"/>
                      <w:caps w:val="false"/>
                      <w:color w:val="FFFFFF"/>
                      <w:sz w:val="30"/>
                      <w:szCs w:val="30"/>
                      <w:rtl w:val="false"/>
                    </w:rPr>
                    <w:t xml:space="preserve">03</w:t>
                  </w:r>
                </w:p>
              </w:tc>
              <w:tc>
                <w:tcPr>
                  <w:tcW w:type="dxa" w:w="4202"/>
                  <w:tcBorders>
                    <w:top w:val="none" w:color="FFFFFF" w:sz="0"/>
                    <w:left w:val="none" w:color="FFFFFF" w:sz="0"/>
                    <w:bottom w:val="none" w:color="FFFFFF" w:sz="0"/>
                    <w:right w:val="none" w:color="FFFFFF" w:sz="0"/>
                  </w:tcBorders>
                  <w:shd w:fill="EDF2F7" w:color="auto" w:val="clear"/>
                  <w:tcMar>
                    <w:top w:type="dxa" w:w="100"/>
                    <w:left w:type="dxa" w:w="180"/>
                    <w:bottom w:type="dxa" w:w="100"/>
                    <w:right w:type="dxa" w:w="140"/>
                  </w:tcMar>
                  <w:vAlign w:val="center"/>
                </w:tcPr>
                <w:p>
                  <w:pPr>
                    <w:bidi w:val="false"/>
                    <w:spacing w:after="20" w:before="0" w:line="224"/>
                  </w:pPr>
                  <w:r>
                    <w:rPr>
                      <w:rFonts w:ascii="Calibri" w:cs="Calibri" w:hAnsi="Calibri"/>
                      <w:b/>
                      <w:bCs/>
                      <w:i w:val="false"/>
                      <w:iCs w:val="false"/>
                      <w:caps w:val="false"/>
                      <w:color w:val="0F2E4A"/>
                      <w:sz w:val="19"/>
                      <w:szCs w:val="19"/>
                      <w:rtl w:val="false"/>
                    </w:rPr>
                    <w:t xml:space="preserve">Design</w:t>
                  </w:r>
                </w:p>
                <w:p>
                  <w:pPr>
                    <w:bidi/>
                    <w:spacing w:after="0" w:before="0" w:line="220"/>
                    <w:jc w:val="right"/>
                  </w:pPr>
                  <w:r>
                    <w:rPr>
                      <w:rFonts w:ascii="Calibri" w:cs="Arial" w:hAnsi="Calibri"/>
                      <w:b w:val="false"/>
                      <w:bCs w:val="false"/>
                      <w:i w:val="false"/>
                      <w:iCs w:val="false"/>
                      <w:caps w:val="false"/>
                      <w:color w:val="4B8834"/>
                      <w:sz w:val="16"/>
                      <w:szCs w:val="16"/>
                      <w:rtl/>
                    </w:rPr>
                    <w:t xml:space="preserve">تصميم التدخل أو الحل</w:t>
                  </w:r>
                </w:p>
              </w:tc>
            </w:tr>
          </w:tbl>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264"/>
            </w:pPr>
          </w:p>
        </w:tc>
        <w:tc>
          <w:tcPr>
            <w:tcW w:type="dxa" w:w="4822"/>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4822"/>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20"/>
              <w:gridCol w:w="4202"/>
            </w:tblGrid>
            <w:tr>
              <w:tc>
                <w:tcPr>
                  <w:tcW w:type="dxa" w:w="620"/>
                  <w:tcBorders>
                    <w:top w:val="none" w:color="FFFFFF" w:sz="0"/>
                    <w:left w:val="none" w:color="FFFFFF" w:sz="0"/>
                    <w:bottom w:val="none" w:color="FFFFFF" w:sz="0"/>
                    <w:right w:val="none" w:color="FFFFFF" w:sz="0"/>
                  </w:tcBorders>
                  <w:shd w:fill="0F2E4A" w:color="auto" w:val="clear"/>
                  <w:tcMar>
                    <w:top w:type="dxa" w:w="120"/>
                    <w:left w:type="dxa" w:w="40"/>
                    <w:bottom w:type="dxa" w:w="120"/>
                    <w:right w:type="dxa" w:w="40"/>
                  </w:tcMar>
                  <w:vAlign w:val="center"/>
                </w:tcPr>
                <w:p>
                  <w:pPr>
                    <w:bidi w:val="false"/>
                    <w:spacing w:after="0" w:before="0" w:line="240"/>
                    <w:jc w:val="center"/>
                  </w:pPr>
                  <w:r>
                    <w:rPr>
                      <w:rFonts w:ascii="Calibri" w:cs="Calibri" w:hAnsi="Calibri"/>
                      <w:b/>
                      <w:bCs/>
                      <w:i w:val="false"/>
                      <w:iCs w:val="false"/>
                      <w:caps w:val="false"/>
                      <w:color w:val="FFFFFF"/>
                      <w:sz w:val="30"/>
                      <w:szCs w:val="30"/>
                      <w:rtl w:val="false"/>
                    </w:rPr>
                    <w:t xml:space="preserve">04</w:t>
                  </w:r>
                </w:p>
              </w:tc>
              <w:tc>
                <w:tcPr>
                  <w:tcW w:type="dxa" w:w="4202"/>
                  <w:tcBorders>
                    <w:top w:val="none" w:color="FFFFFF" w:sz="0"/>
                    <w:left w:val="none" w:color="FFFFFF" w:sz="0"/>
                    <w:bottom w:val="none" w:color="FFFFFF" w:sz="0"/>
                    <w:right w:val="none" w:color="FFFFFF" w:sz="0"/>
                  </w:tcBorders>
                  <w:shd w:fill="EDF2F7" w:color="auto" w:val="clear"/>
                  <w:tcMar>
                    <w:top w:type="dxa" w:w="100"/>
                    <w:left w:type="dxa" w:w="180"/>
                    <w:bottom w:type="dxa" w:w="100"/>
                    <w:right w:type="dxa" w:w="140"/>
                  </w:tcMar>
                  <w:vAlign w:val="center"/>
                </w:tcPr>
                <w:p>
                  <w:pPr>
                    <w:bidi w:val="false"/>
                    <w:spacing w:after="20" w:before="0" w:line="224"/>
                  </w:pPr>
                  <w:r>
                    <w:rPr>
                      <w:rFonts w:ascii="Calibri" w:cs="Calibri" w:hAnsi="Calibri"/>
                      <w:b/>
                      <w:bCs/>
                      <w:i w:val="false"/>
                      <w:iCs w:val="false"/>
                      <w:caps w:val="false"/>
                      <w:color w:val="0F2E4A"/>
                      <w:sz w:val="19"/>
                      <w:szCs w:val="19"/>
                      <w:rtl w:val="false"/>
                    </w:rPr>
                    <w:t xml:space="preserve">Deliver</w:t>
                  </w:r>
                </w:p>
                <w:p>
                  <w:pPr>
                    <w:bidi/>
                    <w:spacing w:after="0" w:before="0" w:line="220"/>
                    <w:jc w:val="right"/>
                  </w:pPr>
                  <w:r>
                    <w:rPr>
                      <w:rFonts w:ascii="Calibri" w:cs="Arial" w:hAnsi="Calibri"/>
                      <w:b w:val="false"/>
                      <w:bCs w:val="false"/>
                      <w:i w:val="false"/>
                      <w:iCs w:val="false"/>
                      <w:caps w:val="false"/>
                      <w:color w:val="4B8834"/>
                      <w:sz w:val="16"/>
                      <w:szCs w:val="16"/>
                      <w:rtl/>
                    </w:rPr>
                    <w:t xml:space="preserve">التنفيذ ونقل المعرفة</w:t>
                  </w:r>
                </w:p>
              </w:tc>
            </w:tr>
          </w:tbl>
          <w:p/>
        </w:tc>
      </w:tr>
      <w:tr>
        <w:trPr>
          <w:trHeight w:val="130" w:hRule="exact"/>
        </w:trPr>
        <w:tc>
          <w:tcPr>
            <w:tcW w:type="dxa" w:w="482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80"/>
            </w:pPr>
          </w:p>
        </w:tc>
        <w:tc>
          <w:tcPr>
            <w:tcW w:type="dxa" w:w="220"/>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c>
          <w:tcPr>
            <w:tcW w:type="dxa" w:w="482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r>
      <w:tr>
        <w:tc>
          <w:tcPr>
            <w:tcW w:type="dxa" w:w="4822"/>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4822"/>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20"/>
              <w:gridCol w:w="4202"/>
            </w:tblGrid>
            <w:tr>
              <w:tc>
                <w:tcPr>
                  <w:tcW w:type="dxa" w:w="620"/>
                  <w:tcBorders>
                    <w:top w:val="none" w:color="FFFFFF" w:sz="0"/>
                    <w:left w:val="none" w:color="FFFFFF" w:sz="0"/>
                    <w:bottom w:val="none" w:color="FFFFFF" w:sz="0"/>
                    <w:right w:val="none" w:color="FFFFFF" w:sz="0"/>
                  </w:tcBorders>
                  <w:shd w:fill="0F2E4A" w:color="auto" w:val="clear"/>
                  <w:tcMar>
                    <w:top w:type="dxa" w:w="120"/>
                    <w:left w:type="dxa" w:w="40"/>
                    <w:bottom w:type="dxa" w:w="120"/>
                    <w:right w:type="dxa" w:w="40"/>
                  </w:tcMar>
                  <w:vAlign w:val="center"/>
                </w:tcPr>
                <w:p>
                  <w:pPr>
                    <w:bidi w:val="false"/>
                    <w:spacing w:after="0" w:before="0" w:line="240"/>
                    <w:jc w:val="center"/>
                  </w:pPr>
                  <w:r>
                    <w:rPr>
                      <w:rFonts w:ascii="Calibri" w:cs="Calibri" w:hAnsi="Calibri"/>
                      <w:b/>
                      <w:bCs/>
                      <w:i w:val="false"/>
                      <w:iCs w:val="false"/>
                      <w:caps w:val="false"/>
                      <w:color w:val="FFFFFF"/>
                      <w:sz w:val="30"/>
                      <w:szCs w:val="30"/>
                      <w:rtl w:val="false"/>
                    </w:rPr>
                    <w:t xml:space="preserve">05</w:t>
                  </w:r>
                </w:p>
              </w:tc>
              <w:tc>
                <w:tcPr>
                  <w:tcW w:type="dxa" w:w="4202"/>
                  <w:tcBorders>
                    <w:top w:val="none" w:color="FFFFFF" w:sz="0"/>
                    <w:left w:val="none" w:color="FFFFFF" w:sz="0"/>
                    <w:bottom w:val="none" w:color="FFFFFF" w:sz="0"/>
                    <w:right w:val="none" w:color="FFFFFF" w:sz="0"/>
                  </w:tcBorders>
                  <w:shd w:fill="EDF2F7" w:color="auto" w:val="clear"/>
                  <w:tcMar>
                    <w:top w:type="dxa" w:w="100"/>
                    <w:left w:type="dxa" w:w="180"/>
                    <w:bottom w:type="dxa" w:w="100"/>
                    <w:right w:type="dxa" w:w="140"/>
                  </w:tcMar>
                  <w:vAlign w:val="center"/>
                </w:tcPr>
                <w:p>
                  <w:pPr>
                    <w:bidi w:val="false"/>
                    <w:spacing w:after="20" w:before="0" w:line="224"/>
                  </w:pPr>
                  <w:r>
                    <w:rPr>
                      <w:rFonts w:ascii="Calibri" w:cs="Calibri" w:hAnsi="Calibri"/>
                      <w:b/>
                      <w:bCs/>
                      <w:i w:val="false"/>
                      <w:iCs w:val="false"/>
                      <w:caps w:val="false"/>
                      <w:color w:val="0F2E4A"/>
                      <w:sz w:val="19"/>
                      <w:szCs w:val="19"/>
                      <w:rtl w:val="false"/>
                    </w:rPr>
                    <w:t xml:space="preserve">Measure</w:t>
                  </w:r>
                </w:p>
                <w:p>
                  <w:pPr>
                    <w:bidi/>
                    <w:spacing w:after="0" w:before="0" w:line="220"/>
                    <w:jc w:val="right"/>
                  </w:pPr>
                  <w:r>
                    <w:rPr>
                      <w:rFonts w:ascii="Calibri" w:cs="Arial" w:hAnsi="Calibri"/>
                      <w:b w:val="false"/>
                      <w:bCs w:val="false"/>
                      <w:i w:val="false"/>
                      <w:iCs w:val="false"/>
                      <w:caps w:val="false"/>
                      <w:color w:val="4B8834"/>
                      <w:sz w:val="16"/>
                      <w:szCs w:val="16"/>
                      <w:rtl/>
                    </w:rPr>
                    <w:t xml:space="preserve">قياس النتائج والأداء</w:t>
                  </w:r>
                </w:p>
              </w:tc>
            </w:tr>
          </w:tbl>
          <w:p/>
        </w:tc>
        <w:tc>
          <w:tcPr>
            <w:tcW w:type="dxa" w:w="22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264"/>
            </w:pPr>
          </w:p>
        </w:tc>
        <w:tc>
          <w:tcPr>
            <w:tcW w:type="dxa" w:w="4822"/>
            <w:tcBorders>
              <w:top w:val="none" w:color="FFFFFF" w:sz="0"/>
              <w:left w:val="none" w:color="FFFFFF" w:sz="0"/>
              <w:bottom w:val="none" w:color="FFFFFF" w:sz="0"/>
              <w:right w:val="none" w:color="FFFFFF" w:sz="0"/>
            </w:tcBorders>
            <w:tcMar>
              <w:top w:type="dxa" w:w="0"/>
              <w:left w:type="dxa" w:w="0"/>
              <w:bottom w:type="dxa" w:w="0"/>
              <w:right w:type="dxa" w:w="0"/>
            </w:tcMar>
            <w:vAlign w:val="center"/>
          </w:tcPr>
          <w:tbl>
            <w:tblPr>
              <w:tblW w:type="dxa" w:w="4822"/>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620"/>
              <w:gridCol w:w="4202"/>
            </w:tblGrid>
            <w:tr>
              <w:tc>
                <w:tcPr>
                  <w:tcW w:type="dxa" w:w="620"/>
                  <w:tcBorders>
                    <w:top w:val="none" w:color="FFFFFF" w:sz="0"/>
                    <w:left w:val="none" w:color="FFFFFF" w:sz="0"/>
                    <w:bottom w:val="none" w:color="FFFFFF" w:sz="0"/>
                    <w:right w:val="none" w:color="FFFFFF" w:sz="0"/>
                  </w:tcBorders>
                  <w:shd w:fill="0F2E4A" w:color="auto" w:val="clear"/>
                  <w:tcMar>
                    <w:top w:type="dxa" w:w="120"/>
                    <w:left w:type="dxa" w:w="40"/>
                    <w:bottom w:type="dxa" w:w="120"/>
                    <w:right w:type="dxa" w:w="40"/>
                  </w:tcMar>
                  <w:vAlign w:val="center"/>
                </w:tcPr>
                <w:p>
                  <w:pPr>
                    <w:bidi w:val="false"/>
                    <w:spacing w:after="0" w:before="0" w:line="240"/>
                    <w:jc w:val="center"/>
                  </w:pPr>
                  <w:r>
                    <w:rPr>
                      <w:rFonts w:ascii="Calibri" w:cs="Calibri" w:hAnsi="Calibri"/>
                      <w:b/>
                      <w:bCs/>
                      <w:i w:val="false"/>
                      <w:iCs w:val="false"/>
                      <w:caps w:val="false"/>
                      <w:color w:val="FFFFFF"/>
                      <w:sz w:val="30"/>
                      <w:szCs w:val="30"/>
                      <w:rtl w:val="false"/>
                    </w:rPr>
                    <w:t xml:space="preserve">06</w:t>
                  </w:r>
                </w:p>
              </w:tc>
              <w:tc>
                <w:tcPr>
                  <w:tcW w:type="dxa" w:w="4202"/>
                  <w:tcBorders>
                    <w:top w:val="none" w:color="FFFFFF" w:sz="0"/>
                    <w:left w:val="none" w:color="FFFFFF" w:sz="0"/>
                    <w:bottom w:val="none" w:color="FFFFFF" w:sz="0"/>
                    <w:right w:val="none" w:color="FFFFFF" w:sz="0"/>
                  </w:tcBorders>
                  <w:shd w:fill="EDF2F7" w:color="auto" w:val="clear"/>
                  <w:tcMar>
                    <w:top w:type="dxa" w:w="100"/>
                    <w:left w:type="dxa" w:w="180"/>
                    <w:bottom w:type="dxa" w:w="100"/>
                    <w:right w:type="dxa" w:w="140"/>
                  </w:tcMar>
                  <w:vAlign w:val="center"/>
                </w:tcPr>
                <w:p>
                  <w:pPr>
                    <w:bidi w:val="false"/>
                    <w:spacing w:after="20" w:before="0" w:line="224"/>
                  </w:pPr>
                  <w:r>
                    <w:rPr>
                      <w:rFonts w:ascii="Calibri" w:cs="Calibri" w:hAnsi="Calibri"/>
                      <w:b/>
                      <w:bCs/>
                      <w:i w:val="false"/>
                      <w:iCs w:val="false"/>
                      <w:caps w:val="false"/>
                      <w:color w:val="0F2E4A"/>
                      <w:sz w:val="19"/>
                      <w:szCs w:val="19"/>
                      <w:rtl w:val="false"/>
                    </w:rPr>
                    <w:t xml:space="preserve">Learn &amp; Improve</w:t>
                  </w:r>
                </w:p>
                <w:p>
                  <w:pPr>
                    <w:bidi/>
                    <w:spacing w:after="0" w:before="0" w:line="220"/>
                    <w:jc w:val="right"/>
                  </w:pPr>
                  <w:r>
                    <w:rPr>
                      <w:rFonts w:ascii="Calibri" w:cs="Arial" w:hAnsi="Calibri"/>
                      <w:b w:val="false"/>
                      <w:bCs w:val="false"/>
                      <w:i w:val="false"/>
                      <w:iCs w:val="false"/>
                      <w:caps w:val="false"/>
                      <w:color w:val="4B8834"/>
                      <w:sz w:val="16"/>
                      <w:szCs w:val="16"/>
                      <w:rtl/>
                    </w:rPr>
                    <w:t xml:space="preserve">التعلم والتحسين المستمر</w:t>
                  </w:r>
                </w:p>
              </w:tc>
            </w:tr>
          </w:tbl>
          <w:p/>
        </w:tc>
      </w:tr>
      <w:tr>
        <w:trPr>
          <w:trHeight w:val="130" w:hRule="exact"/>
        </w:trPr>
        <w:tc>
          <w:tcPr>
            <w:tcW w:type="dxa" w:w="482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80"/>
            </w:pPr>
          </w:p>
        </w:tc>
        <w:tc>
          <w:tcPr>
            <w:tcW w:type="dxa" w:w="220"/>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c>
          <w:tcPr>
            <w:tcW w:type="dxa" w:w="482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r>
    </w:tbl>
    <w:p>
      <w:pPr>
        <w:spacing w:after="8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864"/>
      </w:tblGrid>
      <w:tr>
        <w:tc>
          <w:tcPr>
            <w:tcW w:type="dxa" w:w="9864"/>
            <w:tcBorders>
              <w:top w:val="none" w:color="FFFFFF" w:sz="0"/>
              <w:left w:val="single" w:color="4B8834" w:sz="40"/>
              <w:bottom w:val="none" w:color="FFFFFF" w:sz="0"/>
              <w:right w:val="none" w:color="FFFFFF" w:sz="0"/>
            </w:tcBorders>
            <w:shd w:fill="EEF5E8" w:color="auto" w:val="clear"/>
            <w:tcMar>
              <w:top w:type="dxa" w:w="160"/>
              <w:left w:type="dxa" w:w="260"/>
              <w:bottom w:type="dxa" w:w="160"/>
              <w:right w:type="dxa" w:w="260"/>
            </w:tcMar>
          </w:tcPr>
          <w:p>
            <w:pPr>
              <w:bidi w:val="false"/>
              <w:spacing w:after="0" w:before="0" w:line="264"/>
              <w:jc w:val="center"/>
            </w:pPr>
            <w:r>
              <w:rPr>
                <w:rFonts w:ascii="Calibri" w:cs="Calibri" w:hAnsi="Calibri"/>
                <w:b/>
                <w:bCs/>
                <w:i w:val="false"/>
                <w:iCs w:val="false"/>
                <w:caps w:val="false"/>
                <w:color w:val="0F2E4A"/>
                <w:sz w:val="20"/>
                <w:szCs w:val="20"/>
                <w:rtl w:val="false"/>
              </w:rPr>
              <w:t xml:space="preserve">From Needs to Results</w:t>
            </w:r>
            <w:r>
              <w:rPr>
                <w:rFonts w:ascii="Calibri" w:cs="Calibri" w:hAnsi="Calibri"/>
                <w:b w:val="false"/>
                <w:bCs w:val="false"/>
                <w:i w:val="false"/>
                <w:iCs w:val="false"/>
                <w:caps w:val="false"/>
                <w:color w:val="2C3A45"/>
                <w:sz w:val="20"/>
                <w:szCs w:val="20"/>
                <w:rtl w:val="false"/>
              </w:rPr>
              <w:t xml:space="preserve">        </w:t>
            </w:r>
            <w:r>
              <w:rPr>
                <w:rFonts w:ascii="Calibri" w:cs="Arial" w:hAnsi="Calibri"/>
                <w:b/>
                <w:bCs/>
                <w:i w:val="false"/>
                <w:iCs w:val="false"/>
                <w:caps w:val="false"/>
                <w:color w:val="4B8834"/>
                <w:sz w:val="20"/>
                <w:szCs w:val="20"/>
                <w:rtl/>
              </w:rPr>
              <w:t xml:space="preserve">من الاحتياج إلى النتائج</w:t>
            </w:r>
          </w:p>
        </w:tc>
      </w:tr>
    </w:tbl>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05</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Our Professional Approach</w:t>
            </w:r>
          </w:p>
          <w:p>
            <w:pPr>
              <w:bidi w:val="false"/>
              <w:spacing w:after="0" w:before="0" w:line="200"/>
            </w:pPr>
            <w:r>
              <w:rPr>
                <w:rFonts w:ascii="Calibri" w:cs="Calibri" w:hAnsi="Calibri"/>
                <w:b w:val="false"/>
                <w:bCs w:val="false"/>
                <w:i/>
                <w:iCs/>
                <w:caps w:val="false"/>
                <w:color w:val="6B7C89"/>
                <w:sz w:val="15"/>
                <w:szCs w:val="15"/>
                <w:rtl w:val="false"/>
              </w:rPr>
              <w:t xml:space="preserve">Notre approche professionnelle</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منهجيتنا المهنية</w:t>
            </w:r>
          </w:p>
        </w:tc>
      </w:tr>
    </w:tbl>
    <w:p>
      <w:pPr>
        <w:spacing w:after="120" w:line="200"/>
      </w:pPr>
    </w:p>
    <w:p>
      <w:pPr>
        <w:bidi/>
        <w:spacing w:after="140" w:before="0" w:line="300"/>
        <w:jc w:val="right"/>
      </w:pPr>
      <w:r>
        <w:rPr>
          <w:rFonts w:ascii="Calibri" w:cs="Arial" w:hAnsi="Calibri"/>
          <w:b w:val="false"/>
          <w:bCs w:val="false"/>
          <w:i w:val="false"/>
          <w:iCs w:val="false"/>
          <w:caps w:val="false"/>
          <w:color w:val="2C3A45"/>
          <w:sz w:val="20"/>
          <w:szCs w:val="20"/>
          <w:rtl/>
        </w:rPr>
        <w:t xml:space="preserve">تعتمد شات على مجموعة من المبادئ التي تشكل أساس تصميم وتنفيذ خدماتها:</w:t>
      </w: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932"/>
        <w:gridCol w:w="4932"/>
      </w:tblGrid>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Evidence-Based Practice</w:t>
            </w:r>
          </w:p>
          <w:p>
            <w:pPr>
              <w:bidi/>
              <w:spacing w:after="0" w:before="0" w:line="230"/>
              <w:jc w:val="right"/>
            </w:pPr>
            <w:r>
              <w:rPr>
                <w:rFonts w:ascii="Calibri" w:cs="Arial" w:hAnsi="Calibri"/>
                <w:b w:val="false"/>
                <w:bCs w:val="false"/>
                <w:i w:val="false"/>
                <w:iCs w:val="false"/>
                <w:caps w:val="false"/>
                <w:color w:val="4B8834"/>
                <w:sz w:val="18"/>
                <w:szCs w:val="18"/>
                <w:rtl/>
              </w:rPr>
              <w:t xml:space="preserve">الممارسة القائمة على الأدلة</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Competency-Based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التطوير القائم على الكفاءات</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Human Rights-Based Approach</w:t>
            </w:r>
          </w:p>
          <w:p>
            <w:pPr>
              <w:bidi/>
              <w:spacing w:after="0" w:before="0" w:line="230"/>
              <w:jc w:val="right"/>
            </w:pPr>
            <w:r>
              <w:rPr>
                <w:rFonts w:ascii="Calibri" w:cs="Arial" w:hAnsi="Calibri"/>
                <w:b w:val="false"/>
                <w:bCs w:val="false"/>
                <w:i w:val="false"/>
                <w:iCs w:val="false"/>
                <w:caps w:val="false"/>
                <w:color w:val="4B8834"/>
                <w:sz w:val="18"/>
                <w:szCs w:val="18"/>
                <w:rtl/>
              </w:rPr>
              <w:t xml:space="preserve">النهج القائم على حقوق الإنسان</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Do No Harm</w:t>
            </w:r>
          </w:p>
          <w:p>
            <w:pPr>
              <w:bidi/>
              <w:spacing w:after="0" w:before="0" w:line="230"/>
              <w:jc w:val="right"/>
            </w:pPr>
            <w:r>
              <w:rPr>
                <w:rFonts w:ascii="Calibri" w:cs="Arial" w:hAnsi="Calibri"/>
                <w:b w:val="false"/>
                <w:bCs w:val="false"/>
                <w:i w:val="false"/>
                <w:iCs w:val="false"/>
                <w:caps w:val="false"/>
                <w:color w:val="4B8834"/>
                <w:sz w:val="18"/>
                <w:szCs w:val="18"/>
                <w:rtl/>
              </w:rPr>
              <w:t xml:space="preserve">مبدأ عدم الإضرار</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Accountability</w:t>
            </w:r>
          </w:p>
          <w:p>
            <w:pPr>
              <w:bidi/>
              <w:spacing w:after="0" w:before="0" w:line="230"/>
              <w:jc w:val="right"/>
            </w:pPr>
            <w:r>
              <w:rPr>
                <w:rFonts w:ascii="Calibri" w:cs="Arial" w:hAnsi="Calibri"/>
                <w:b w:val="false"/>
                <w:bCs w:val="false"/>
                <w:i w:val="false"/>
                <w:iCs w:val="false"/>
                <w:caps w:val="false"/>
                <w:color w:val="4B8834"/>
                <w:sz w:val="18"/>
                <w:szCs w:val="18"/>
                <w:rtl/>
              </w:rPr>
              <w:t xml:space="preserve">المساءلة</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Inclusion &amp; Non-Discrimination</w:t>
            </w:r>
          </w:p>
          <w:p>
            <w:pPr>
              <w:bidi/>
              <w:spacing w:after="0" w:before="0" w:line="230"/>
              <w:jc w:val="right"/>
            </w:pPr>
            <w:r>
              <w:rPr>
                <w:rFonts w:ascii="Calibri" w:cs="Arial" w:hAnsi="Calibri"/>
                <w:b w:val="false"/>
                <w:bCs w:val="false"/>
                <w:i w:val="false"/>
                <w:iCs w:val="false"/>
                <w:caps w:val="false"/>
                <w:color w:val="4B8834"/>
                <w:sz w:val="18"/>
                <w:szCs w:val="18"/>
                <w:rtl/>
              </w:rPr>
              <w:t xml:space="preserve">الشمول وعدم التمييز</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Safeguarding &amp; Protection</w:t>
            </w:r>
          </w:p>
          <w:p>
            <w:pPr>
              <w:bidi/>
              <w:spacing w:after="0" w:before="0" w:line="230"/>
              <w:jc w:val="right"/>
            </w:pPr>
            <w:r>
              <w:rPr>
                <w:rFonts w:ascii="Calibri" w:cs="Arial" w:hAnsi="Calibri"/>
                <w:b w:val="false"/>
                <w:bCs w:val="false"/>
                <w:i w:val="false"/>
                <w:iCs w:val="false"/>
                <w:caps w:val="false"/>
                <w:color w:val="4B8834"/>
                <w:sz w:val="18"/>
                <w:szCs w:val="18"/>
                <w:rtl/>
              </w:rPr>
              <w:t xml:space="preserve">الحماية وصون السلامة</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Ethical Practice</w:t>
            </w:r>
          </w:p>
          <w:p>
            <w:pPr>
              <w:bidi/>
              <w:spacing w:after="0" w:before="0" w:line="230"/>
              <w:jc w:val="right"/>
            </w:pPr>
            <w:r>
              <w:rPr>
                <w:rFonts w:ascii="Calibri" w:cs="Arial" w:hAnsi="Calibri"/>
                <w:b w:val="false"/>
                <w:bCs w:val="false"/>
                <w:i w:val="false"/>
                <w:iCs w:val="false"/>
                <w:caps w:val="false"/>
                <w:color w:val="4B8834"/>
                <w:sz w:val="18"/>
                <w:szCs w:val="18"/>
                <w:rtl/>
              </w:rPr>
              <w:t xml:space="preserve">الممارسة الأخلاقية</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Confidentiality &amp; Data Protection</w:t>
            </w:r>
          </w:p>
          <w:p>
            <w:pPr>
              <w:bidi/>
              <w:spacing w:after="0" w:before="0" w:line="230"/>
              <w:jc w:val="right"/>
            </w:pPr>
            <w:r>
              <w:rPr>
                <w:rFonts w:ascii="Calibri" w:cs="Arial" w:hAnsi="Calibri"/>
                <w:b w:val="false"/>
                <w:bCs w:val="false"/>
                <w:i w:val="false"/>
                <w:iCs w:val="false"/>
                <w:caps w:val="false"/>
                <w:color w:val="4B8834"/>
                <w:sz w:val="18"/>
                <w:szCs w:val="18"/>
                <w:rtl/>
              </w:rPr>
              <w:t xml:space="preserve">السرية وحماية البيانات</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Quality &amp; Continuous Improvement</w:t>
            </w:r>
          </w:p>
          <w:p>
            <w:pPr>
              <w:bidi/>
              <w:spacing w:after="0" w:before="0" w:line="230"/>
              <w:jc w:val="right"/>
            </w:pPr>
            <w:r>
              <w:rPr>
                <w:rFonts w:ascii="Calibri" w:cs="Arial" w:hAnsi="Calibri"/>
                <w:b w:val="false"/>
                <w:bCs w:val="false"/>
                <w:i w:val="false"/>
                <w:iCs w:val="false"/>
                <w:caps w:val="false"/>
                <w:color w:val="4B8834"/>
                <w:sz w:val="18"/>
                <w:szCs w:val="18"/>
                <w:rtl/>
              </w:rPr>
              <w:t xml:space="preserve">الجودة والتحسين المستمر</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bl>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06</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International &amp; Humanitarian References</w:t>
            </w:r>
          </w:p>
          <w:p>
            <w:pPr>
              <w:bidi w:val="false"/>
              <w:spacing w:after="0" w:before="0" w:line="200"/>
            </w:pPr>
            <w:r>
              <w:rPr>
                <w:rFonts w:ascii="Calibri" w:cs="Calibri" w:hAnsi="Calibri"/>
                <w:b w:val="false"/>
                <w:bCs w:val="false"/>
                <w:i/>
                <w:iCs/>
                <w:caps w:val="false"/>
                <w:color w:val="6B7C89"/>
                <w:sz w:val="15"/>
                <w:szCs w:val="15"/>
                <w:rtl w:val="false"/>
              </w:rPr>
              <w:t xml:space="preserve">Référentiels internationaux</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المرجعيات الدولية والإنسانية</w:t>
            </w:r>
          </w:p>
        </w:tc>
      </w:tr>
    </w:tbl>
    <w:p>
      <w:pPr>
        <w:spacing w:after="120" w:line="200"/>
      </w:pPr>
    </w:p>
    <w:p>
      <w:pPr>
        <w:bidi/>
        <w:spacing w:after="140" w:before="0" w:line="300"/>
        <w:jc w:val="right"/>
      </w:pPr>
      <w:r>
        <w:rPr>
          <w:rFonts w:ascii="Calibri" w:cs="Arial" w:hAnsi="Calibri"/>
          <w:b w:val="false"/>
          <w:bCs w:val="false"/>
          <w:i w:val="false"/>
          <w:iCs w:val="false"/>
          <w:caps w:val="false"/>
          <w:color w:val="2C3A45"/>
          <w:sz w:val="20"/>
          <w:szCs w:val="20"/>
          <w:rtl/>
        </w:rPr>
        <w:t xml:space="preserve">تسترشد شات، بحسب طبيعة ونطاق كل مهمة، بالمرجعيات الدولية والإنسانية المناسبة، ومن أبرزها:</w:t>
      </w: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932"/>
        <w:gridCol w:w="4932"/>
      </w:tblGrid>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Core Humanitarian Standard — CHS</w:t>
            </w:r>
          </w:p>
          <w:p>
            <w:pPr>
              <w:bidi/>
              <w:spacing w:after="0" w:before="0" w:line="230"/>
              <w:jc w:val="right"/>
            </w:pPr>
            <w:r>
              <w:rPr>
                <w:rFonts w:ascii="Calibri" w:cs="Arial" w:hAnsi="Calibri"/>
                <w:b w:val="false"/>
                <w:bCs w:val="false"/>
                <w:i w:val="false"/>
                <w:iCs w:val="false"/>
                <w:caps w:val="false"/>
                <w:color w:val="4B8834"/>
                <w:sz w:val="18"/>
                <w:szCs w:val="18"/>
                <w:rtl/>
              </w:rPr>
              <w:t xml:space="preserve">المعيار الإنساني الأساسي</w:t>
            </w:r>
          </w:p>
        </w:tc>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Sphere Handbook</w:t>
            </w:r>
          </w:p>
          <w:p>
            <w:pPr>
              <w:bidi/>
              <w:spacing w:after="0" w:before="0" w:line="230"/>
              <w:jc w:val="right"/>
            </w:pPr>
            <w:r>
              <w:rPr>
                <w:rFonts w:ascii="Calibri" w:cs="Arial" w:hAnsi="Calibri"/>
                <w:b w:val="false"/>
                <w:bCs w:val="false"/>
                <w:i w:val="false"/>
                <w:iCs w:val="false"/>
                <w:caps w:val="false"/>
                <w:color w:val="4B8834"/>
                <w:sz w:val="18"/>
                <w:szCs w:val="18"/>
                <w:rtl/>
              </w:rPr>
              <w:t xml:space="preserve">المعايير الإنسانية الدنيا</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OECD DAC Evaluation Criteria</w:t>
            </w:r>
          </w:p>
          <w:p>
            <w:pPr>
              <w:bidi/>
              <w:spacing w:after="0" w:before="0" w:line="230"/>
              <w:jc w:val="right"/>
            </w:pPr>
            <w:r>
              <w:rPr>
                <w:rFonts w:ascii="Calibri" w:cs="Arial" w:hAnsi="Calibri"/>
                <w:b w:val="false"/>
                <w:bCs w:val="false"/>
                <w:i w:val="false"/>
                <w:iCs w:val="false"/>
                <w:caps w:val="false"/>
                <w:color w:val="4B8834"/>
                <w:sz w:val="18"/>
                <w:szCs w:val="18"/>
                <w:rtl/>
              </w:rPr>
              <w:t xml:space="preserve">معايير OECD DAC للتقييم</w:t>
            </w:r>
          </w:p>
        </w:tc>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UN Evaluation Group — UNEG</w:t>
            </w:r>
          </w:p>
          <w:p>
            <w:pPr>
              <w:bidi/>
              <w:spacing w:after="0" w:before="0" w:line="230"/>
              <w:jc w:val="right"/>
            </w:pPr>
            <w:r>
              <w:rPr>
                <w:rFonts w:ascii="Calibri" w:cs="Arial" w:hAnsi="Calibri"/>
                <w:b w:val="false"/>
                <w:bCs w:val="false"/>
                <w:i w:val="false"/>
                <w:iCs w:val="false"/>
                <w:caps w:val="false"/>
                <w:color w:val="4B8834"/>
                <w:sz w:val="18"/>
                <w:szCs w:val="18"/>
                <w:rtl/>
              </w:rPr>
              <w:t xml:space="preserve">أطر ومبادئ التقييم ذات الصلة</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Human Rights-Based Approach — HRBA</w:t>
            </w:r>
          </w:p>
          <w:p>
            <w:pPr>
              <w:bidi/>
              <w:spacing w:after="0" w:before="0" w:line="230"/>
              <w:jc w:val="right"/>
            </w:pPr>
            <w:r>
              <w:rPr>
                <w:rFonts w:ascii="Calibri" w:cs="Arial" w:hAnsi="Calibri"/>
                <w:b w:val="false"/>
                <w:bCs w:val="false"/>
                <w:i w:val="false"/>
                <w:iCs w:val="false"/>
                <w:caps w:val="false"/>
                <w:color w:val="4B8834"/>
                <w:sz w:val="18"/>
                <w:szCs w:val="18"/>
                <w:rtl/>
              </w:rPr>
              <w:t xml:space="preserve">النهج القائم على حقوق الإنسان</w:t>
            </w:r>
          </w:p>
        </w:tc>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Accountability to Affected People — AAP</w:t>
            </w:r>
          </w:p>
          <w:p>
            <w:pPr>
              <w:bidi/>
              <w:spacing w:after="0" w:before="0" w:line="230"/>
              <w:jc w:val="right"/>
            </w:pPr>
            <w:r>
              <w:rPr>
                <w:rFonts w:ascii="Calibri" w:cs="Arial" w:hAnsi="Calibri"/>
                <w:b w:val="false"/>
                <w:bCs w:val="false"/>
                <w:i w:val="false"/>
                <w:iCs w:val="false"/>
                <w:caps w:val="false"/>
                <w:color w:val="4B8834"/>
                <w:sz w:val="18"/>
                <w:szCs w:val="18"/>
                <w:rtl/>
              </w:rPr>
              <w:t xml:space="preserve">المساءلة تجاه الأشخاص المتأثرين</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Protection Mainstreaming</w:t>
            </w:r>
          </w:p>
          <w:p>
            <w:pPr>
              <w:bidi/>
              <w:spacing w:after="0" w:before="0" w:line="230"/>
              <w:jc w:val="right"/>
            </w:pPr>
            <w:r>
              <w:rPr>
                <w:rFonts w:ascii="Calibri" w:cs="Arial" w:hAnsi="Calibri"/>
                <w:b w:val="false"/>
                <w:bCs w:val="false"/>
                <w:i w:val="false"/>
                <w:iCs w:val="false"/>
                <w:caps w:val="false"/>
                <w:color w:val="4B8834"/>
                <w:sz w:val="18"/>
                <w:szCs w:val="18"/>
                <w:rtl/>
              </w:rPr>
              <w:t xml:space="preserve">إدماج الحماية</w:t>
            </w:r>
          </w:p>
        </w:tc>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PSEA Frameworks</w:t>
            </w:r>
          </w:p>
          <w:p>
            <w:pPr>
              <w:bidi/>
              <w:spacing w:after="0" w:before="0" w:line="230"/>
              <w:jc w:val="right"/>
            </w:pPr>
            <w:r>
              <w:rPr>
                <w:rFonts w:ascii="Calibri" w:cs="Arial" w:hAnsi="Calibri"/>
                <w:b w:val="false"/>
                <w:bCs w:val="false"/>
                <w:i w:val="false"/>
                <w:iCs w:val="false"/>
                <w:caps w:val="false"/>
                <w:color w:val="4B8834"/>
                <w:sz w:val="18"/>
                <w:szCs w:val="18"/>
                <w:rtl/>
              </w:rPr>
              <w:t xml:space="preserve">الحماية من الاستغلال والانتهاك الجنسيين</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Convention on the Rights of the Child — CRC</w:t>
            </w:r>
          </w:p>
          <w:p>
            <w:pPr>
              <w:bidi/>
              <w:spacing w:after="0" w:before="0" w:line="230"/>
              <w:jc w:val="right"/>
            </w:pPr>
            <w:r>
              <w:rPr>
                <w:rFonts w:ascii="Calibri" w:cs="Arial" w:hAnsi="Calibri"/>
                <w:b w:val="false"/>
                <w:bCs w:val="false"/>
                <w:i w:val="false"/>
                <w:iCs w:val="false"/>
                <w:caps w:val="false"/>
                <w:color w:val="4B8834"/>
                <w:sz w:val="18"/>
                <w:szCs w:val="18"/>
                <w:rtl/>
              </w:rPr>
              <w:t xml:space="preserve">اتفاقية حقوق الطفل</w:t>
            </w:r>
          </w:p>
        </w:tc>
        <w:tc>
          <w:tcPr>
            <w:tcW w:type="dxa" w:w="4932"/>
            <w:tcBorders>
              <w:top w:val="none" w:color="FFFFFF" w:sz="0"/>
              <w:left w:val="single" w:color="0F2E4A" w:sz="24"/>
              <w:bottom w:val="none" w:color="FFFFFF" w:sz="0"/>
              <w:right w:val="none" w:color="FFFFFF" w:sz="0"/>
            </w:tcBorders>
            <w:shd w:fill="EEF5E8"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CEDAW</w:t>
            </w:r>
          </w:p>
          <w:p>
            <w:pPr>
              <w:bidi/>
              <w:spacing w:after="0" w:before="0" w:line="230"/>
              <w:jc w:val="right"/>
            </w:pPr>
            <w:r>
              <w:rPr>
                <w:rFonts w:ascii="Calibri" w:cs="Arial" w:hAnsi="Calibri"/>
                <w:b w:val="false"/>
                <w:bCs w:val="false"/>
                <w:i w:val="false"/>
                <w:iCs w:val="false"/>
                <w:caps w:val="false"/>
                <w:color w:val="4B8834"/>
                <w:sz w:val="18"/>
                <w:szCs w:val="18"/>
                <w:rtl/>
              </w:rPr>
              <w:t xml:space="preserve">اتفاقية القضاء على جميع أشكال التمييز ضد المرأة</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bl>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07</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Areas of Expertise</w:t>
            </w:r>
          </w:p>
          <w:p>
            <w:pPr>
              <w:bidi w:val="false"/>
              <w:spacing w:after="0" w:before="0" w:line="200"/>
            </w:pPr>
            <w:r>
              <w:rPr>
                <w:rFonts w:ascii="Calibri" w:cs="Calibri" w:hAnsi="Calibri"/>
                <w:b w:val="false"/>
                <w:bCs w:val="false"/>
                <w:i/>
                <w:iCs/>
                <w:caps w:val="false"/>
                <w:color w:val="6B7C89"/>
                <w:sz w:val="15"/>
                <w:szCs w:val="15"/>
                <w:rtl w:val="false"/>
              </w:rPr>
              <w:t xml:space="preserve">Domaines d’expertise</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مجالات الخبرة</w:t>
            </w:r>
          </w:p>
        </w:tc>
      </w:tr>
    </w:tbl>
    <w:p>
      <w:pPr>
        <w:spacing w:after="12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932"/>
        <w:gridCol w:w="4932"/>
      </w:tblGrid>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HUMANITARIAN ACTION</w:t>
            </w:r>
          </w:p>
          <w:p>
            <w:pPr>
              <w:bidi/>
              <w:spacing w:after="0" w:before="0" w:line="230"/>
              <w:jc w:val="right"/>
            </w:pPr>
            <w:r>
              <w:rPr>
                <w:rFonts w:ascii="Calibri" w:cs="Arial" w:hAnsi="Calibri"/>
                <w:b w:val="false"/>
                <w:bCs w:val="false"/>
                <w:i w:val="false"/>
                <w:iCs w:val="false"/>
                <w:caps w:val="false"/>
                <w:color w:val="4B8834"/>
                <w:sz w:val="18"/>
                <w:szCs w:val="18"/>
                <w:rtl/>
              </w:rPr>
              <w:t xml:space="preserve">العمل الإنساني</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PROTECTION &amp; SAFEGUARDING</w:t>
            </w:r>
          </w:p>
          <w:p>
            <w:pPr>
              <w:bidi/>
              <w:spacing w:after="0" w:before="0" w:line="230"/>
              <w:jc w:val="right"/>
            </w:pPr>
            <w:r>
              <w:rPr>
                <w:rFonts w:ascii="Calibri" w:cs="Arial" w:hAnsi="Calibri"/>
                <w:b w:val="false"/>
                <w:bCs w:val="false"/>
                <w:i w:val="false"/>
                <w:iCs w:val="false"/>
                <w:caps w:val="false"/>
                <w:color w:val="4B8834"/>
                <w:sz w:val="18"/>
                <w:szCs w:val="18"/>
                <w:rtl/>
              </w:rPr>
              <w:t xml:space="preserve">الحماية وصون السلامة</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WOMEN &amp; CHILD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تنمية وتمكين المرأة والطفل</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YOUTH DEVELOPMENT &amp; EMPOWERMENT</w:t>
            </w:r>
          </w:p>
          <w:p>
            <w:pPr>
              <w:bidi/>
              <w:spacing w:after="0" w:before="0" w:line="230"/>
              <w:jc w:val="right"/>
            </w:pPr>
            <w:r>
              <w:rPr>
                <w:rFonts w:ascii="Calibri" w:cs="Arial" w:hAnsi="Calibri"/>
                <w:b w:val="false"/>
                <w:bCs w:val="false"/>
                <w:i w:val="false"/>
                <w:iCs w:val="false"/>
                <w:caps w:val="false"/>
                <w:color w:val="4B8834"/>
                <w:sz w:val="18"/>
                <w:szCs w:val="18"/>
                <w:rtl/>
              </w:rPr>
              <w:t xml:space="preserve">تنمية وتمكين الشباب</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EDUCATION &amp; TEACHER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التعليم وتطوير المعلمين</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MEDIA &amp; COMMUNICATION</w:t>
            </w:r>
          </w:p>
          <w:p>
            <w:pPr>
              <w:bidi/>
              <w:spacing w:after="0" w:before="0" w:line="230"/>
              <w:jc w:val="right"/>
            </w:pPr>
            <w:r>
              <w:rPr>
                <w:rFonts w:ascii="Calibri" w:cs="Arial" w:hAnsi="Calibri"/>
                <w:b w:val="false"/>
                <w:bCs w:val="false"/>
                <w:i w:val="false"/>
                <w:iCs w:val="false"/>
                <w:caps w:val="false"/>
                <w:color w:val="4B8834"/>
                <w:sz w:val="18"/>
                <w:szCs w:val="18"/>
                <w:rtl/>
              </w:rPr>
              <w:t xml:space="preserve">الإعلام والاتصال</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r>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INSTITUTIONAL DEVELOPMENT</w:t>
            </w:r>
          </w:p>
          <w:p>
            <w:pPr>
              <w:bidi/>
              <w:spacing w:after="0" w:before="0" w:line="230"/>
              <w:jc w:val="right"/>
            </w:pPr>
            <w:r>
              <w:rPr>
                <w:rFonts w:ascii="Calibri" w:cs="Arial" w:hAnsi="Calibri"/>
                <w:b w:val="false"/>
                <w:bCs w:val="false"/>
                <w:i w:val="false"/>
                <w:iCs w:val="false"/>
                <w:caps w:val="false"/>
                <w:color w:val="4B8834"/>
                <w:sz w:val="18"/>
                <w:szCs w:val="18"/>
                <w:rtl/>
              </w:rPr>
              <w:t xml:space="preserve">التطوير المؤسسي</w:t>
            </w:r>
          </w:p>
        </w:tc>
        <w:tc>
          <w:tcPr>
            <w:tcW w:type="dxa" w:w="4932"/>
            <w:tcBorders>
              <w:top w:val="none" w:color="FFFFFF" w:sz="0"/>
              <w:left w:val="single" w:color="4B8834" w:sz="24"/>
              <w:bottom w:val="none" w:color="FFFFFF" w:sz="0"/>
              <w:right w:val="none" w:color="FFFFFF" w:sz="0"/>
            </w:tcBorders>
            <w:shd w:fill="EDF2F7" w:color="auto" w:val="clear"/>
            <w:tcMar>
              <w:top w:type="dxa" w:w="100"/>
              <w:left w:type="dxa" w:w="160"/>
              <w:bottom w:type="dxa" w:w="100"/>
              <w:right w:type="dxa" w:w="160"/>
            </w:tcMar>
            <w:vAlign w:val="center"/>
          </w:tcPr>
          <w:p>
            <w:pPr>
              <w:bidi w:val="false"/>
              <w:spacing w:after="30" w:before="0" w:line="230"/>
            </w:pPr>
            <w:r>
              <w:rPr>
                <w:rFonts w:ascii="Calibri" w:cs="Calibri" w:hAnsi="Calibri"/>
                <w:b/>
                <w:bCs/>
                <w:i w:val="false"/>
                <w:iCs w:val="false"/>
                <w:caps w:val="false"/>
                <w:color w:val="0F2E4A"/>
                <w:sz w:val="18"/>
                <w:szCs w:val="18"/>
                <w:rtl w:val="false"/>
              </w:rPr>
              <w:t xml:space="preserve">MONITORING, EVALUATION &amp; LEARNING</w:t>
            </w:r>
          </w:p>
          <w:p>
            <w:pPr>
              <w:bidi/>
              <w:spacing w:after="0" w:before="0" w:line="230"/>
              <w:jc w:val="right"/>
            </w:pPr>
            <w:r>
              <w:rPr>
                <w:rFonts w:ascii="Calibri" w:cs="Arial" w:hAnsi="Calibri"/>
                <w:b w:val="false"/>
                <w:bCs w:val="false"/>
                <w:i w:val="false"/>
                <w:iCs w:val="false"/>
                <w:caps w:val="false"/>
                <w:color w:val="4B8834"/>
                <w:sz w:val="18"/>
                <w:szCs w:val="18"/>
                <w:rtl/>
              </w:rPr>
              <w:t xml:space="preserve">المتابعة والتقييم والتعلم</w:t>
            </w:r>
          </w:p>
        </w:tc>
      </w:tr>
      <w:tr>
        <w:trPr>
          <w:trHeight w:val="90" w:hRule="exact"/>
        </w:trPr>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c>
          <w:tcPr>
            <w:tcW w:type="dxa" w:w="4932"/>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bidi w:val="false"/>
              <w:spacing w:after="0" w:before="0" w:line="60"/>
            </w:pPr>
          </w:p>
        </w:tc>
      </w:tr>
    </w:tbl>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08</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Our Value Proposition</w:t>
            </w:r>
          </w:p>
          <w:p>
            <w:pPr>
              <w:bidi w:val="false"/>
              <w:spacing w:after="0" w:before="0" w:line="200"/>
            </w:pPr>
            <w:r>
              <w:rPr>
                <w:rFonts w:ascii="Calibri" w:cs="Calibri" w:hAnsi="Calibri"/>
                <w:b w:val="false"/>
                <w:bCs w:val="false"/>
                <w:i/>
                <w:iCs/>
                <w:caps w:val="false"/>
                <w:color w:val="6B7C89"/>
                <w:sz w:val="15"/>
                <w:szCs w:val="15"/>
                <w:rtl w:val="false"/>
              </w:rPr>
              <w:t xml:space="preserve">Notre valeur ajoutée</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القيمة التي نقدمها</w:t>
            </w:r>
          </w:p>
        </w:tc>
      </w:tr>
    </w:tbl>
    <w:p>
      <w:pPr>
        <w:spacing w:after="12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2600"/>
        <w:gridCol w:w="7264"/>
      </w:tblGrid>
      <w:tr>
        <w:tc>
          <w:tcPr>
            <w:tcW w:type="dxa" w:w="2600"/>
            <w:tcBorders>
              <w:top w:val="single" w:color="FFFFFF" w:sz="12"/>
              <w:left w:val="none" w:color="FFFFFF" w:sz="0"/>
              <w:bottom w:val="single" w:color="FFFFFF" w:sz="12"/>
              <w:right w:val="none" w:color="FFFFFF" w:sz="0"/>
            </w:tcBorders>
            <w:shd w:fill="0F2E4A" w:color="auto" w:val="clear"/>
            <w:tcMar>
              <w:top w:type="dxa" w:w="110"/>
              <w:left w:type="dxa" w:w="220"/>
              <w:bottom w:type="dxa" w:w="110"/>
              <w:right w:type="dxa" w:w="120"/>
            </w:tcMar>
            <w:vAlign w:val="center"/>
          </w:tcPr>
          <w:p>
            <w:pPr>
              <w:bidi w:val="false"/>
              <w:spacing w:after="0" w:before="0" w:line="230"/>
            </w:pPr>
            <w:r>
              <w:rPr>
                <w:rFonts w:ascii="Calibri" w:cs="Calibri" w:hAnsi="Calibri"/>
                <w:b/>
                <w:bCs/>
                <w:i w:val="false"/>
                <w:iCs w:val="false"/>
                <w:caps w:val="false"/>
                <w:color w:val="FFFFFF"/>
                <w:sz w:val="20"/>
                <w:szCs w:val="20"/>
                <w:rtl w:val="false"/>
              </w:rPr>
              <w:t xml:space="preserve">Capacity</w:t>
            </w:r>
          </w:p>
        </w:tc>
        <w:tc>
          <w:tcPr>
            <w:tcW w:type="dxa" w:w="7264"/>
            <w:tcBorders>
              <w:top w:val="single" w:color="FFFFFF" w:sz="12"/>
              <w:left w:val="none" w:color="FFFFFF" w:sz="0"/>
              <w:bottom w:val="single" w:color="FFFFFF" w:sz="12"/>
              <w:right w:val="none" w:color="FFFFFF" w:sz="0"/>
            </w:tcBorders>
            <w:shd w:fill="EDF2F7" w:color="auto" w:val="clear"/>
            <w:tcMar>
              <w:top w:type="dxa" w:w="110"/>
              <w:left w:type="dxa" w:w="180"/>
              <w:bottom w:type="dxa" w:w="110"/>
              <w:right w:type="dxa" w:w="220"/>
            </w:tcMar>
            <w:vAlign w:val="center"/>
          </w:tcPr>
          <w:p>
            <w:pPr>
              <w:bidi/>
              <w:spacing w:after="0" w:before="0" w:line="240"/>
              <w:jc w:val="right"/>
            </w:pPr>
            <w:r>
              <w:rPr>
                <w:rFonts w:ascii="Calibri" w:cs="Arial" w:hAnsi="Calibri"/>
                <w:b w:val="false"/>
                <w:bCs w:val="false"/>
                <w:i w:val="false"/>
                <w:iCs w:val="false"/>
                <w:caps w:val="false"/>
                <w:color w:val="0F2E4A"/>
                <w:sz w:val="19"/>
                <w:szCs w:val="19"/>
                <w:rtl/>
              </w:rPr>
              <w:t xml:space="preserve">نبني المعرفة والكفاءات.</w:t>
            </w:r>
          </w:p>
        </w:tc>
      </w:tr>
      <w:tr>
        <w:tc>
          <w:tcPr>
            <w:tcW w:type="dxa" w:w="2600"/>
            <w:tcBorders>
              <w:top w:val="single" w:color="FFFFFF" w:sz="12"/>
              <w:left w:val="none" w:color="FFFFFF" w:sz="0"/>
              <w:bottom w:val="single" w:color="FFFFFF" w:sz="12"/>
              <w:right w:val="none" w:color="FFFFFF" w:sz="0"/>
            </w:tcBorders>
            <w:shd w:fill="0F2E4A" w:color="auto" w:val="clear"/>
            <w:tcMar>
              <w:top w:type="dxa" w:w="110"/>
              <w:left w:type="dxa" w:w="220"/>
              <w:bottom w:type="dxa" w:w="110"/>
              <w:right w:type="dxa" w:w="120"/>
            </w:tcMar>
            <w:vAlign w:val="center"/>
          </w:tcPr>
          <w:p>
            <w:pPr>
              <w:bidi w:val="false"/>
              <w:spacing w:after="0" w:before="0" w:line="230"/>
            </w:pPr>
            <w:r>
              <w:rPr>
                <w:rFonts w:ascii="Calibri" w:cs="Calibri" w:hAnsi="Calibri"/>
                <w:b/>
                <w:bCs/>
                <w:i w:val="false"/>
                <w:iCs w:val="false"/>
                <w:caps w:val="false"/>
                <w:color w:val="FFFFFF"/>
                <w:sz w:val="20"/>
                <w:szCs w:val="20"/>
                <w:rtl w:val="false"/>
              </w:rPr>
              <w:t xml:space="preserve">Systems</w:t>
            </w:r>
          </w:p>
        </w:tc>
        <w:tc>
          <w:tcPr>
            <w:tcW w:type="dxa" w:w="7264"/>
            <w:tcBorders>
              <w:top w:val="single" w:color="FFFFFF" w:sz="12"/>
              <w:left w:val="none" w:color="FFFFFF" w:sz="0"/>
              <w:bottom w:val="single" w:color="FFFFFF" w:sz="12"/>
              <w:right w:val="none" w:color="FFFFFF" w:sz="0"/>
            </w:tcBorders>
            <w:shd w:fill="EDF2F7" w:color="auto" w:val="clear"/>
            <w:tcMar>
              <w:top w:type="dxa" w:w="110"/>
              <w:left w:type="dxa" w:w="180"/>
              <w:bottom w:type="dxa" w:w="110"/>
              <w:right w:type="dxa" w:w="220"/>
            </w:tcMar>
            <w:vAlign w:val="center"/>
          </w:tcPr>
          <w:p>
            <w:pPr>
              <w:bidi/>
              <w:spacing w:after="0" w:before="0" w:line="240"/>
              <w:jc w:val="right"/>
            </w:pPr>
            <w:r>
              <w:rPr>
                <w:rFonts w:ascii="Calibri" w:cs="Arial" w:hAnsi="Calibri"/>
                <w:b w:val="false"/>
                <w:bCs w:val="false"/>
                <w:i w:val="false"/>
                <w:iCs w:val="false"/>
                <w:caps w:val="false"/>
                <w:color w:val="0F2E4A"/>
                <w:sz w:val="19"/>
                <w:szCs w:val="19"/>
                <w:rtl/>
              </w:rPr>
              <w:t xml:space="preserve">نطور الأنظمة والممارسات المؤسسية.</w:t>
            </w:r>
          </w:p>
        </w:tc>
      </w:tr>
      <w:tr>
        <w:tc>
          <w:tcPr>
            <w:tcW w:type="dxa" w:w="2600"/>
            <w:tcBorders>
              <w:top w:val="single" w:color="FFFFFF" w:sz="12"/>
              <w:left w:val="none" w:color="FFFFFF" w:sz="0"/>
              <w:bottom w:val="single" w:color="FFFFFF" w:sz="12"/>
              <w:right w:val="none" w:color="FFFFFF" w:sz="0"/>
            </w:tcBorders>
            <w:shd w:fill="0F2E4A" w:color="auto" w:val="clear"/>
            <w:tcMar>
              <w:top w:type="dxa" w:w="110"/>
              <w:left w:type="dxa" w:w="220"/>
              <w:bottom w:type="dxa" w:w="110"/>
              <w:right w:type="dxa" w:w="120"/>
            </w:tcMar>
            <w:vAlign w:val="center"/>
          </w:tcPr>
          <w:p>
            <w:pPr>
              <w:bidi w:val="false"/>
              <w:spacing w:after="0" w:before="0" w:line="230"/>
            </w:pPr>
            <w:r>
              <w:rPr>
                <w:rFonts w:ascii="Calibri" w:cs="Calibri" w:hAnsi="Calibri"/>
                <w:b/>
                <w:bCs/>
                <w:i w:val="false"/>
                <w:iCs w:val="false"/>
                <w:caps w:val="false"/>
                <w:color w:val="FFFFFF"/>
                <w:sz w:val="20"/>
                <w:szCs w:val="20"/>
                <w:rtl w:val="false"/>
              </w:rPr>
              <w:t xml:space="preserve">Evidence</w:t>
            </w:r>
          </w:p>
        </w:tc>
        <w:tc>
          <w:tcPr>
            <w:tcW w:type="dxa" w:w="7264"/>
            <w:tcBorders>
              <w:top w:val="single" w:color="FFFFFF" w:sz="12"/>
              <w:left w:val="none" w:color="FFFFFF" w:sz="0"/>
              <w:bottom w:val="single" w:color="FFFFFF" w:sz="12"/>
              <w:right w:val="none" w:color="FFFFFF" w:sz="0"/>
            </w:tcBorders>
            <w:shd w:fill="EDF2F7" w:color="auto" w:val="clear"/>
            <w:tcMar>
              <w:top w:type="dxa" w:w="110"/>
              <w:left w:type="dxa" w:w="180"/>
              <w:bottom w:type="dxa" w:w="110"/>
              <w:right w:type="dxa" w:w="220"/>
            </w:tcMar>
            <w:vAlign w:val="center"/>
          </w:tcPr>
          <w:p>
            <w:pPr>
              <w:bidi/>
              <w:spacing w:after="0" w:before="0" w:line="240"/>
              <w:jc w:val="right"/>
            </w:pPr>
            <w:r>
              <w:rPr>
                <w:rFonts w:ascii="Calibri" w:cs="Arial" w:hAnsi="Calibri"/>
                <w:b w:val="false"/>
                <w:bCs w:val="false"/>
                <w:i w:val="false"/>
                <w:iCs w:val="false"/>
                <w:caps w:val="false"/>
                <w:color w:val="0F2E4A"/>
                <w:sz w:val="19"/>
                <w:szCs w:val="19"/>
                <w:rtl/>
              </w:rPr>
              <w:t xml:space="preserve">نحوّل البيانات إلى معرفة قابلة للاستخدام.</w:t>
            </w:r>
          </w:p>
        </w:tc>
      </w:tr>
      <w:tr>
        <w:tc>
          <w:tcPr>
            <w:tcW w:type="dxa" w:w="2600"/>
            <w:tcBorders>
              <w:top w:val="single" w:color="FFFFFF" w:sz="12"/>
              <w:left w:val="none" w:color="FFFFFF" w:sz="0"/>
              <w:bottom w:val="single" w:color="FFFFFF" w:sz="12"/>
              <w:right w:val="none" w:color="FFFFFF" w:sz="0"/>
            </w:tcBorders>
            <w:shd w:fill="0F2E4A" w:color="auto" w:val="clear"/>
            <w:tcMar>
              <w:top w:type="dxa" w:w="110"/>
              <w:left w:type="dxa" w:w="220"/>
              <w:bottom w:type="dxa" w:w="110"/>
              <w:right w:type="dxa" w:w="120"/>
            </w:tcMar>
            <w:vAlign w:val="center"/>
          </w:tcPr>
          <w:p>
            <w:pPr>
              <w:bidi w:val="false"/>
              <w:spacing w:after="0" w:before="0" w:line="230"/>
            </w:pPr>
            <w:r>
              <w:rPr>
                <w:rFonts w:ascii="Calibri" w:cs="Calibri" w:hAnsi="Calibri"/>
                <w:b/>
                <w:bCs/>
                <w:i w:val="false"/>
                <w:iCs w:val="false"/>
                <w:caps w:val="false"/>
                <w:color w:val="FFFFFF"/>
                <w:sz w:val="20"/>
                <w:szCs w:val="20"/>
                <w:rtl w:val="false"/>
              </w:rPr>
              <w:t xml:space="preserve">Performance</w:t>
            </w:r>
          </w:p>
        </w:tc>
        <w:tc>
          <w:tcPr>
            <w:tcW w:type="dxa" w:w="7264"/>
            <w:tcBorders>
              <w:top w:val="single" w:color="FFFFFF" w:sz="12"/>
              <w:left w:val="none" w:color="FFFFFF" w:sz="0"/>
              <w:bottom w:val="single" w:color="FFFFFF" w:sz="12"/>
              <w:right w:val="none" w:color="FFFFFF" w:sz="0"/>
            </w:tcBorders>
            <w:shd w:fill="EDF2F7" w:color="auto" w:val="clear"/>
            <w:tcMar>
              <w:top w:type="dxa" w:w="110"/>
              <w:left w:type="dxa" w:w="180"/>
              <w:bottom w:type="dxa" w:w="110"/>
              <w:right w:type="dxa" w:w="220"/>
            </w:tcMar>
            <w:vAlign w:val="center"/>
          </w:tcPr>
          <w:p>
            <w:pPr>
              <w:bidi/>
              <w:spacing w:after="0" w:before="0" w:line="240"/>
              <w:jc w:val="right"/>
            </w:pPr>
            <w:r>
              <w:rPr>
                <w:rFonts w:ascii="Calibri" w:cs="Arial" w:hAnsi="Calibri"/>
                <w:b w:val="false"/>
                <w:bCs w:val="false"/>
                <w:i w:val="false"/>
                <w:iCs w:val="false"/>
                <w:caps w:val="false"/>
                <w:color w:val="0F2E4A"/>
                <w:sz w:val="19"/>
                <w:szCs w:val="19"/>
                <w:rtl/>
              </w:rPr>
              <w:t xml:space="preserve">نربط التطوير بالأداء.</w:t>
            </w:r>
          </w:p>
        </w:tc>
      </w:tr>
      <w:tr>
        <w:tc>
          <w:tcPr>
            <w:tcW w:type="dxa" w:w="2600"/>
            <w:tcBorders>
              <w:top w:val="single" w:color="FFFFFF" w:sz="12"/>
              <w:left w:val="none" w:color="FFFFFF" w:sz="0"/>
              <w:bottom w:val="single" w:color="FFFFFF" w:sz="12"/>
              <w:right w:val="none" w:color="FFFFFF" w:sz="0"/>
            </w:tcBorders>
            <w:shd w:fill="0F2E4A" w:color="auto" w:val="clear"/>
            <w:tcMar>
              <w:top w:type="dxa" w:w="110"/>
              <w:left w:type="dxa" w:w="220"/>
              <w:bottom w:type="dxa" w:w="110"/>
              <w:right w:type="dxa" w:w="120"/>
            </w:tcMar>
            <w:vAlign w:val="center"/>
          </w:tcPr>
          <w:p>
            <w:pPr>
              <w:bidi w:val="false"/>
              <w:spacing w:after="0" w:before="0" w:line="230"/>
            </w:pPr>
            <w:r>
              <w:rPr>
                <w:rFonts w:ascii="Calibri" w:cs="Calibri" w:hAnsi="Calibri"/>
                <w:b/>
                <w:bCs/>
                <w:i w:val="false"/>
                <w:iCs w:val="false"/>
                <w:caps w:val="false"/>
                <w:color w:val="FFFFFF"/>
                <w:sz w:val="20"/>
                <w:szCs w:val="20"/>
                <w:rtl w:val="false"/>
              </w:rPr>
              <w:t xml:space="preserve">Results</w:t>
            </w:r>
          </w:p>
        </w:tc>
        <w:tc>
          <w:tcPr>
            <w:tcW w:type="dxa" w:w="7264"/>
            <w:tcBorders>
              <w:top w:val="single" w:color="FFFFFF" w:sz="12"/>
              <w:left w:val="none" w:color="FFFFFF" w:sz="0"/>
              <w:bottom w:val="single" w:color="FFFFFF" w:sz="12"/>
              <w:right w:val="none" w:color="FFFFFF" w:sz="0"/>
            </w:tcBorders>
            <w:shd w:fill="EDF2F7" w:color="auto" w:val="clear"/>
            <w:tcMar>
              <w:top w:type="dxa" w:w="110"/>
              <w:left w:type="dxa" w:w="180"/>
              <w:bottom w:type="dxa" w:w="110"/>
              <w:right w:type="dxa" w:w="220"/>
            </w:tcMar>
            <w:vAlign w:val="center"/>
          </w:tcPr>
          <w:p>
            <w:pPr>
              <w:bidi/>
              <w:spacing w:after="0" w:before="0" w:line="240"/>
              <w:jc w:val="right"/>
            </w:pPr>
            <w:r>
              <w:rPr>
                <w:rFonts w:ascii="Calibri" w:cs="Arial" w:hAnsi="Calibri"/>
                <w:b w:val="false"/>
                <w:bCs w:val="false"/>
                <w:i w:val="false"/>
                <w:iCs w:val="false"/>
                <w:caps w:val="false"/>
                <w:color w:val="0F2E4A"/>
                <w:sz w:val="19"/>
                <w:szCs w:val="19"/>
                <w:rtl/>
              </w:rPr>
              <w:t xml:space="preserve">نركز على النتائج والأثر والتحسين المستمر.</w:t>
            </w:r>
          </w:p>
        </w:tc>
      </w:tr>
    </w:tbl>
    <w:p>
      <w:pPr>
        <w:spacing w:after="12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864"/>
      </w:tblGrid>
      <w:tr>
        <w:tc>
          <w:tcPr>
            <w:tcW w:type="dxa" w:w="9864"/>
            <w:tcBorders>
              <w:top w:val="none" w:color="FFFFFF" w:sz="0"/>
              <w:left w:val="single" w:color="4B8834" w:sz="40"/>
              <w:bottom w:val="none" w:color="FFFFFF" w:sz="0"/>
              <w:right w:val="none" w:color="FFFFFF" w:sz="0"/>
            </w:tcBorders>
            <w:shd w:fill="EEF5E8" w:color="auto" w:val="clear"/>
            <w:tcMar>
              <w:top w:type="dxa" w:w="160"/>
              <w:left w:type="dxa" w:w="260"/>
              <w:bottom w:type="dxa" w:w="160"/>
              <w:right w:type="dxa" w:w="260"/>
            </w:tcMar>
          </w:tcPr>
          <w:p>
            <w:pPr>
              <w:bidi w:val="false"/>
              <w:spacing w:after="40" w:before="0" w:line="264"/>
              <w:jc w:val="center"/>
            </w:pPr>
            <w:r>
              <w:rPr>
                <w:rFonts w:ascii="Calibri" w:cs="Calibri" w:hAnsi="Calibri"/>
                <w:b/>
                <w:bCs/>
                <w:i w:val="false"/>
                <w:iCs w:val="false"/>
                <w:caps w:val="false"/>
                <w:color w:val="0F2E4A"/>
                <w:sz w:val="19"/>
                <w:szCs w:val="19"/>
                <w:rtl w:val="false"/>
              </w:rPr>
              <w:t xml:space="preserve">Knowledge → Capacity → Practice → Performance → Results</w:t>
            </w:r>
          </w:p>
          <w:p>
            <w:pPr>
              <w:bidi/>
              <w:spacing w:after="0" w:before="0" w:line="264"/>
              <w:jc w:val="center"/>
            </w:pPr>
            <w:r>
              <w:rPr>
                <w:rFonts w:ascii="Calibri" w:cs="Arial" w:hAnsi="Calibri"/>
                <w:b/>
                <w:bCs/>
                <w:i w:val="false"/>
                <w:iCs w:val="false"/>
                <w:caps w:val="false"/>
                <w:color w:val="4B8834"/>
                <w:sz w:val="19"/>
                <w:szCs w:val="19"/>
                <w:rtl/>
              </w:rPr>
              <w:t xml:space="preserve">المعرفة ← القدرة ← الممارسة ← الأداء ← النتائج</w:t>
            </w:r>
          </w:p>
        </w:tc>
      </w:tr>
    </w:tbl>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09</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Our Institutional Positioning</w:t>
            </w:r>
          </w:p>
          <w:p>
            <w:pPr>
              <w:bidi w:val="false"/>
              <w:spacing w:after="0" w:before="0" w:line="200"/>
            </w:pPr>
            <w:r>
              <w:rPr>
                <w:rFonts w:ascii="Calibri" w:cs="Calibri" w:hAnsi="Calibri"/>
                <w:b w:val="false"/>
                <w:bCs w:val="false"/>
                <w:i/>
                <w:iCs/>
                <w:caps w:val="false"/>
                <w:color w:val="6B7C89"/>
                <w:sz w:val="15"/>
                <w:szCs w:val="15"/>
                <w:rtl w:val="false"/>
              </w:rPr>
              <w:t xml:space="preserve">Notre positionnement</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التوجه المؤسسي</w:t>
            </w:r>
          </w:p>
        </w:tc>
      </w:tr>
    </w:tbl>
    <w:p>
      <w:pPr>
        <w:spacing w:after="12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9864"/>
      </w:tblGrid>
      <w:tr>
        <w:tc>
          <w:tcPr>
            <w:tcW w:type="dxa" w:w="9864"/>
            <w:tcBorders>
              <w:top w:val="none" w:color="FFFFFF" w:sz="0"/>
              <w:left w:val="single" w:color="4B8834" w:sz="40"/>
              <w:bottom w:val="none" w:color="FFFFFF" w:sz="0"/>
              <w:right w:val="none" w:color="FFFFFF" w:sz="0"/>
            </w:tcBorders>
            <w:shd w:fill="EDF2F7" w:color="auto" w:val="clear"/>
            <w:tcMar>
              <w:top w:type="dxa" w:w="160"/>
              <w:left w:type="dxa" w:w="260"/>
              <w:bottom w:type="dxa" w:w="160"/>
              <w:right w:type="dxa" w:w="260"/>
            </w:tcMar>
          </w:tcPr>
          <w:p>
            <w:pPr>
              <w:bidi w:val="false"/>
              <w:spacing w:after="60" w:before="0" w:line="264"/>
            </w:pPr>
            <w:r>
              <w:rPr>
                <w:rFonts w:ascii="Calibri" w:cs="Calibri" w:hAnsi="Calibri"/>
                <w:b/>
                <w:bCs/>
                <w:i w:val="false"/>
                <w:iCs w:val="false"/>
                <w:caps w:val="false"/>
                <w:color w:val="0F2E4A"/>
                <w:sz w:val="20"/>
                <w:szCs w:val="20"/>
                <w:rtl w:val="false"/>
              </w:rPr>
              <w:t xml:space="preserve">SHAT is more than a training provider — it is a partner in capacity strengthening and institutional development.</w:t>
            </w:r>
          </w:p>
          <w:p>
            <w:pPr>
              <w:bidi/>
              <w:spacing w:after="0" w:before="0" w:line="264"/>
              <w:jc w:val="right"/>
            </w:pPr>
            <w:r>
              <w:rPr>
                <w:rFonts w:ascii="Calibri" w:cs="Arial" w:hAnsi="Calibri"/>
                <w:b/>
                <w:bCs/>
                <w:i w:val="false"/>
                <w:iCs w:val="false"/>
                <w:caps w:val="false"/>
                <w:color w:val="4B8834"/>
                <w:sz w:val="19"/>
                <w:szCs w:val="19"/>
                <w:rtl/>
              </w:rPr>
              <w:t xml:space="preserve">شات ليست مجرد جهة تدريب؛ بل شريك في بناء القدرات والتطوير المؤسسي.</w:t>
            </w:r>
          </w:p>
        </w:tc>
      </w:tr>
    </w:tbl>
    <w:p>
      <w:pPr>
        <w:spacing w:after="120" w:line="200"/>
      </w:pPr>
    </w:p>
    <w:p>
      <w:pPr>
        <w:bidi w:val="false"/>
        <w:spacing w:after="60" w:before="60" w:line="264"/>
      </w:pPr>
      <w:r>
        <w:rPr>
          <w:rFonts w:ascii="Calibri" w:cs="Calibri" w:hAnsi="Calibri"/>
          <w:b/>
          <w:bCs/>
          <w:i w:val="false"/>
          <w:iCs w:val="false"/>
          <w:caps/>
          <w:color w:val="4B8834"/>
          <w:spacing w:val="20"/>
          <w:sz w:val="17"/>
          <w:szCs w:val="17"/>
          <w:rtl w:val="false"/>
        </w:rPr>
        <w:t xml:space="preserve">العربية</w:t>
      </w:r>
    </w:p>
    <w:p>
      <w:pPr>
        <w:bidi/>
        <w:spacing w:after="140" w:before="0" w:line="300"/>
        <w:jc w:val="right"/>
      </w:pPr>
      <w:r>
        <w:rPr>
          <w:rFonts w:ascii="Calibri" w:cs="Arial" w:hAnsi="Calibri"/>
          <w:b w:val="false"/>
          <w:bCs w:val="false"/>
          <w:i w:val="false"/>
          <w:iCs w:val="false"/>
          <w:caps w:val="false"/>
          <w:color w:val="2C3A45"/>
          <w:sz w:val="20"/>
          <w:szCs w:val="20"/>
          <w:rtl/>
        </w:rPr>
        <w:t xml:space="preserve">نؤمن بأن التدريب الأكثر قيمة هو الذي يقود إلى </w:t>
      </w:r>
      <w:r>
        <w:rPr>
          <w:rFonts w:ascii="Calibri" w:cs="Arial" w:hAnsi="Calibri"/>
          <w:b/>
          <w:bCs/>
          <w:i w:val="false"/>
          <w:iCs w:val="false"/>
          <w:caps w:val="false"/>
          <w:color w:val="4B8834"/>
          <w:sz w:val="20"/>
          <w:szCs w:val="20"/>
          <w:rtl/>
        </w:rPr>
        <w:t xml:space="preserve">قدرة قابلة للتطبيق</w:t>
      </w:r>
      <w:r>
        <w:rPr>
          <w:rFonts w:ascii="Calibri" w:cs="Arial" w:hAnsi="Calibri"/>
          <w:b w:val="false"/>
          <w:bCs w:val="false"/>
          <w:i w:val="false"/>
          <w:iCs w:val="false"/>
          <w:caps w:val="false"/>
          <w:color w:val="2C3A45"/>
          <w:sz w:val="20"/>
          <w:szCs w:val="20"/>
          <w:rtl/>
        </w:rPr>
        <w:t xml:space="preserve">، وأن الاستشارة الفاعلة هي التي تنتقل من </w:t>
      </w:r>
      <w:r>
        <w:rPr>
          <w:rFonts w:ascii="Calibri" w:cs="Arial" w:hAnsi="Calibri"/>
          <w:b/>
          <w:bCs/>
          <w:i w:val="false"/>
          <w:iCs w:val="false"/>
          <w:caps w:val="false"/>
          <w:color w:val="4B8834"/>
          <w:sz w:val="20"/>
          <w:szCs w:val="20"/>
          <w:rtl/>
        </w:rPr>
        <w:t xml:space="preserve">التحليل إلى الحل ومن الحل إلى التطوير</w:t>
      </w:r>
      <w:r>
        <w:rPr>
          <w:rFonts w:ascii="Calibri" w:cs="Arial" w:hAnsi="Calibri"/>
          <w:b w:val="false"/>
          <w:bCs w:val="false"/>
          <w:i w:val="false"/>
          <w:iCs w:val="false"/>
          <w:caps w:val="false"/>
          <w:color w:val="2C3A45"/>
          <w:sz w:val="20"/>
          <w:szCs w:val="20"/>
          <w:rtl/>
        </w:rPr>
        <w:t xml:space="preserve">، وأن التقييم الفعّال هو الذي يحول الأدلة والنتائج إلى </w:t>
      </w:r>
      <w:r>
        <w:rPr>
          <w:rFonts w:ascii="Calibri" w:cs="Arial" w:hAnsi="Calibri"/>
          <w:b/>
          <w:bCs/>
          <w:i w:val="false"/>
          <w:iCs w:val="false"/>
          <w:caps w:val="false"/>
          <w:color w:val="4B8834"/>
          <w:sz w:val="20"/>
          <w:szCs w:val="20"/>
          <w:rtl/>
        </w:rPr>
        <w:t xml:space="preserve">تعلم وقرارات وتحسينات عملية.</w:t>
      </w:r>
    </w:p>
    <w:p>
      <w:pPr>
        <w:bidi w:val="false"/>
        <w:spacing w:after="60" w:before="60" w:line="264"/>
      </w:pPr>
      <w:r>
        <w:rPr>
          <w:rFonts w:ascii="Calibri" w:cs="Calibri" w:hAnsi="Calibri"/>
          <w:b/>
          <w:bCs/>
          <w:i w:val="false"/>
          <w:iCs w:val="false"/>
          <w:caps/>
          <w:color w:val="4B8834"/>
          <w:spacing w:val="20"/>
          <w:sz w:val="17"/>
          <w:szCs w:val="17"/>
          <w:rtl w:val="false"/>
        </w:rPr>
        <w:t xml:space="preserve">English</w:t>
      </w:r>
    </w:p>
    <w:p>
      <w:pPr>
        <w:bidi w:val="false"/>
        <w:spacing w:after="140" w:before="0" w:line="274"/>
        <w:jc w:val="both"/>
      </w:pPr>
      <w:r>
        <w:rPr>
          <w:rFonts w:ascii="Calibri" w:cs="Calibri" w:hAnsi="Calibri"/>
          <w:b w:val="false"/>
          <w:bCs w:val="false"/>
          <w:i w:val="false"/>
          <w:iCs w:val="false"/>
          <w:caps w:val="false"/>
          <w:color w:val="2C3A45"/>
          <w:sz w:val="20"/>
          <w:szCs w:val="20"/>
          <w:rtl w:val="false"/>
        </w:rPr>
        <w:t xml:space="preserve">We believe effective training should lead to </w:t>
      </w:r>
      <w:r>
        <w:rPr>
          <w:rFonts w:ascii="Calibri" w:cs="Calibri" w:hAnsi="Calibri"/>
          <w:b/>
          <w:bCs/>
          <w:i w:val="false"/>
          <w:iCs w:val="false"/>
          <w:caps w:val="false"/>
          <w:color w:val="4B8834"/>
          <w:sz w:val="20"/>
          <w:szCs w:val="20"/>
          <w:rtl w:val="false"/>
        </w:rPr>
        <w:t xml:space="preserve">practical capability</w:t>
      </w:r>
      <w:r>
        <w:rPr>
          <w:rFonts w:ascii="Calibri" w:cs="Calibri" w:hAnsi="Calibri"/>
          <w:b w:val="false"/>
          <w:bCs w:val="false"/>
          <w:i w:val="false"/>
          <w:iCs w:val="false"/>
          <w:caps w:val="false"/>
          <w:color w:val="2C3A45"/>
          <w:sz w:val="20"/>
          <w:szCs w:val="20"/>
          <w:rtl w:val="false"/>
        </w:rPr>
        <w:t xml:space="preserve">, consulting should move </w:t>
      </w:r>
      <w:r>
        <w:rPr>
          <w:rFonts w:ascii="Calibri" w:cs="Calibri" w:hAnsi="Calibri"/>
          <w:b/>
          <w:bCs/>
          <w:i w:val="false"/>
          <w:iCs w:val="false"/>
          <w:caps w:val="false"/>
          <w:color w:val="4B8834"/>
          <w:sz w:val="20"/>
          <w:szCs w:val="20"/>
          <w:rtl w:val="false"/>
        </w:rPr>
        <w:t xml:space="preserve">from analysis to solutions and from solutions to improvement</w:t>
      </w:r>
      <w:r>
        <w:rPr>
          <w:rFonts w:ascii="Calibri" w:cs="Calibri" w:hAnsi="Calibri"/>
          <w:b w:val="false"/>
          <w:bCs w:val="false"/>
          <w:i w:val="false"/>
          <w:iCs w:val="false"/>
          <w:caps w:val="false"/>
          <w:color w:val="2C3A45"/>
          <w:sz w:val="20"/>
          <w:szCs w:val="20"/>
          <w:rtl w:val="false"/>
        </w:rPr>
        <w:t xml:space="preserve">, and evaluation should transform evidence and findings into </w:t>
      </w:r>
      <w:r>
        <w:rPr>
          <w:rFonts w:ascii="Calibri" w:cs="Calibri" w:hAnsi="Calibri"/>
          <w:b/>
          <w:bCs/>
          <w:i w:val="false"/>
          <w:iCs w:val="false"/>
          <w:caps w:val="false"/>
          <w:color w:val="4B8834"/>
          <w:sz w:val="20"/>
          <w:szCs w:val="20"/>
          <w:rtl w:val="false"/>
        </w:rPr>
        <w:t xml:space="preserve">learning, informed decisions, and meaningful improvements</w:t>
      </w:r>
      <w:r>
        <w:rPr>
          <w:rFonts w:ascii="Calibri" w:cs="Calibri" w:hAnsi="Calibri"/>
          <w:b w:val="false"/>
          <w:bCs w:val="false"/>
          <w:i w:val="false"/>
          <w:iCs w:val="false"/>
          <w:caps w:val="false"/>
          <w:color w:val="2C3A45"/>
          <w:sz w:val="20"/>
          <w:szCs w:val="20"/>
          <w:rtl w:val="false"/>
        </w:rPr>
        <w:t xml:space="preserve">.</w:t>
      </w:r>
    </w:p>
    <w:p>
      <w:pPr>
        <w:bidi w:val="false"/>
        <w:spacing w:after="60" w:before="60" w:line="264"/>
      </w:pPr>
      <w:r>
        <w:rPr>
          <w:rFonts w:ascii="Calibri" w:cs="Calibri" w:hAnsi="Calibri"/>
          <w:b/>
          <w:bCs/>
          <w:i w:val="false"/>
          <w:iCs w:val="false"/>
          <w:caps/>
          <w:color w:val="4B8834"/>
          <w:spacing w:val="20"/>
          <w:sz w:val="17"/>
          <w:szCs w:val="17"/>
          <w:rtl w:val="false"/>
        </w:rPr>
        <w:t xml:space="preserve">Français</w:t>
      </w:r>
    </w:p>
    <w:p>
      <w:pPr>
        <w:bidi w:val="false"/>
        <w:spacing w:after="140" w:before="0" w:line="274"/>
        <w:jc w:val="both"/>
      </w:pPr>
      <w:r>
        <w:rPr>
          <w:rFonts w:ascii="Calibri" w:cs="Calibri" w:hAnsi="Calibri"/>
          <w:b w:val="false"/>
          <w:bCs w:val="false"/>
          <w:i w:val="false"/>
          <w:iCs w:val="false"/>
          <w:caps w:val="false"/>
          <w:color w:val="2C3A45"/>
          <w:sz w:val="20"/>
          <w:szCs w:val="20"/>
          <w:rtl w:val="false"/>
        </w:rPr>
        <w:t xml:space="preserve">SHAT est plus qu’un prestataire de formation ; c’est un partenaire du renforcement des capacités et du développement institutionnel — une formation qui conduit à une capacité opérationnelle, un conseil qui évolue de l’analyse vers les solutions, et une évaluation qui transforme les constats en apprentissage et décisions éclairées.</w:t>
      </w:r>
    </w:p>
    <w:p>
      <w:pPr>
        <w:pageBreakBefore/>
        <w:spacing w:after="0"/>
      </w:pPr>
    </w:p>
    <w:p>
      <w:pPr>
        <w:spacing w:after="60" w:line="200"/>
      </w:pP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760"/>
        <w:gridCol w:w="5904"/>
        <w:gridCol w:w="3200"/>
      </w:tblGrid>
      <w:tr>
        <w:tc>
          <w:tcPr>
            <w:tcW w:type="dxa" w:w="760"/>
            <w:tcBorders>
              <w:top w:val="none" w:color="FFFFFF" w:sz="0"/>
              <w:left w:val="none" w:color="FFFFFF" w:sz="0"/>
              <w:bottom w:val="single" w:color="4B8834" w:sz="10"/>
              <w:right w:val="none" w:color="FFFFFF" w:sz="0"/>
            </w:tcBorders>
            <w:shd w:fill="4B8834" w:color="auto" w:val="clear"/>
            <w:tcMar>
              <w:top w:type="dxa" w:w="60"/>
              <w:left w:type="dxa" w:w="60"/>
              <w:bottom w:type="dxa" w:w="60"/>
              <w:right w:type="dxa" w:w="60"/>
            </w:tcMar>
            <w:vAlign w:val="center"/>
          </w:tcPr>
          <w:p>
            <w:pPr>
              <w:bidi w:val="false"/>
              <w:spacing w:after="0" w:before="0" w:line="240"/>
              <w:jc w:val="center"/>
            </w:pPr>
            <w:r>
              <w:rPr>
                <w:rFonts w:ascii="Calibri" w:cs="Calibri" w:hAnsi="Calibri"/>
                <w:b/>
                <w:bCs/>
                <w:i w:val="false"/>
                <w:iCs w:val="false"/>
                <w:caps w:val="false"/>
                <w:color w:val="FFFFFF"/>
                <w:sz w:val="26"/>
                <w:szCs w:val="26"/>
                <w:rtl w:val="false"/>
              </w:rPr>
              <w:t xml:space="preserve">10</w:t>
            </w:r>
          </w:p>
        </w:tc>
        <w:tc>
          <w:tcPr>
            <w:tcW w:type="dxa" w:w="5904"/>
            <w:tcBorders>
              <w:top w:val="none" w:color="FFFFFF" w:sz="0"/>
              <w:left w:val="none" w:color="FFFFFF" w:sz="0"/>
              <w:bottom w:val="single" w:color="4B8834" w:sz="10"/>
              <w:right w:val="none" w:color="FFFFFF" w:sz="0"/>
            </w:tcBorders>
            <w:tcMar>
              <w:top w:type="dxa" w:w="40"/>
              <w:left w:type="dxa" w:w="200"/>
              <w:bottom w:type="dxa" w:w="40"/>
              <w:right w:type="dxa" w:w="120"/>
            </w:tcMar>
            <w:vAlign w:val="center"/>
          </w:tcPr>
          <w:p>
            <w:pPr>
              <w:bidi w:val="false"/>
              <w:spacing w:after="0" w:before="0" w:line="244"/>
            </w:pPr>
            <w:r>
              <w:rPr>
                <w:rFonts w:ascii="Calibri" w:cs="Calibri" w:hAnsi="Calibri"/>
                <w:b/>
                <w:bCs/>
                <w:i w:val="false"/>
                <w:iCs w:val="false"/>
                <w:caps w:val="false"/>
                <w:color w:val="0F2E4A"/>
                <w:sz w:val="26"/>
                <w:szCs w:val="26"/>
                <w:rtl w:val="false"/>
              </w:rPr>
              <w:t xml:space="preserve">Our Commitment</w:t>
            </w:r>
          </w:p>
          <w:p>
            <w:pPr>
              <w:bidi w:val="false"/>
              <w:spacing w:after="0" w:before="0" w:line="200"/>
            </w:pPr>
            <w:r>
              <w:rPr>
                <w:rFonts w:ascii="Calibri" w:cs="Calibri" w:hAnsi="Calibri"/>
                <w:b w:val="false"/>
                <w:bCs w:val="false"/>
                <w:i/>
                <w:iCs/>
                <w:caps w:val="false"/>
                <w:color w:val="6B7C89"/>
                <w:sz w:val="15"/>
                <w:szCs w:val="15"/>
                <w:rtl w:val="false"/>
              </w:rPr>
              <w:t xml:space="preserve">Notre engagement</w:t>
            </w:r>
          </w:p>
        </w:tc>
        <w:tc>
          <w:tcPr>
            <w:tcW w:type="dxa" w:w="3200"/>
            <w:tcBorders>
              <w:top w:val="none" w:color="FFFFFF" w:sz="0"/>
              <w:left w:val="none" w:color="FFFFFF" w:sz="0"/>
              <w:bottom w:val="single" w:color="4B8834" w:sz="10"/>
              <w:right w:val="none" w:color="FFFFFF" w:sz="0"/>
            </w:tcBorders>
            <w:tcMar>
              <w:top w:type="dxa" w:w="40"/>
              <w:left w:type="dxa" w:w="120"/>
              <w:bottom w:type="dxa" w:w="40"/>
              <w:right w:type="dxa" w:w="40"/>
            </w:tcMar>
            <w:vAlign w:val="center"/>
          </w:tcPr>
          <w:p>
            <w:pPr>
              <w:bidi/>
              <w:spacing w:after="0" w:before="0" w:line="244"/>
              <w:jc w:val="right"/>
            </w:pPr>
            <w:r>
              <w:rPr>
                <w:rFonts w:ascii="Calibri" w:cs="Arial" w:hAnsi="Calibri"/>
                <w:b/>
                <w:bCs/>
                <w:i w:val="false"/>
                <w:iCs w:val="false"/>
                <w:caps w:val="false"/>
                <w:color w:val="0F2E4A"/>
                <w:sz w:val="24"/>
                <w:szCs w:val="24"/>
                <w:rtl/>
              </w:rPr>
              <w:t xml:space="preserve">التزامنا</w:t>
            </w:r>
          </w:p>
        </w:tc>
      </w:tr>
    </w:tbl>
    <w:p>
      <w:pPr>
        <w:spacing w:after="120" w:line="200"/>
      </w:pPr>
    </w:p>
    <w:p>
      <w:pPr>
        <w:bidi w:val="false"/>
        <w:spacing w:after="60" w:before="60" w:line="264"/>
      </w:pPr>
      <w:r>
        <w:rPr>
          <w:rFonts w:ascii="Calibri" w:cs="Calibri" w:hAnsi="Calibri"/>
          <w:b/>
          <w:bCs/>
          <w:i w:val="false"/>
          <w:iCs w:val="false"/>
          <w:caps/>
          <w:color w:val="4B8834"/>
          <w:spacing w:val="20"/>
          <w:sz w:val="17"/>
          <w:szCs w:val="17"/>
          <w:rtl w:val="false"/>
        </w:rPr>
        <w:t xml:space="preserve">العربية</w:t>
      </w:r>
    </w:p>
    <w:p>
      <w:pPr>
        <w:bidi/>
        <w:spacing w:after="140" w:before="0" w:line="300"/>
        <w:jc w:val="right"/>
      </w:pPr>
      <w:r>
        <w:rPr>
          <w:rFonts w:ascii="Calibri" w:cs="Arial" w:hAnsi="Calibri"/>
          <w:b w:val="false"/>
          <w:bCs w:val="false"/>
          <w:i w:val="false"/>
          <w:iCs w:val="false"/>
          <w:caps w:val="false"/>
          <w:color w:val="2C3A45"/>
          <w:sz w:val="20"/>
          <w:szCs w:val="20"/>
          <w:rtl/>
        </w:rPr>
        <w:t xml:space="preserve">نسعى إلى تقديم خدمات </w:t>
      </w:r>
      <w:r>
        <w:rPr>
          <w:rFonts w:ascii="Calibri" w:cs="Arial" w:hAnsi="Calibri"/>
          <w:b/>
          <w:bCs/>
          <w:i w:val="false"/>
          <w:iCs w:val="false"/>
          <w:caps w:val="false"/>
          <w:color w:val="4B8834"/>
          <w:sz w:val="20"/>
          <w:szCs w:val="20"/>
          <w:rtl/>
        </w:rPr>
        <w:t xml:space="preserve">ذات جودة، قائمة على الأدلة، ومبنية على منهجيات واضحة</w:t>
      </w:r>
      <w:r>
        <w:rPr>
          <w:rFonts w:ascii="Calibri" w:cs="Arial" w:hAnsi="Calibri"/>
          <w:b w:val="false"/>
          <w:bCs w:val="false"/>
          <w:i w:val="false"/>
          <w:iCs w:val="false"/>
          <w:caps w:val="false"/>
          <w:color w:val="2C3A45"/>
          <w:sz w:val="20"/>
          <w:szCs w:val="20"/>
          <w:rtl/>
        </w:rPr>
        <w:t xml:space="preserve">، مع الحفاظ على المهنية والاستقلالية والسرية، والتركيز على بناء القدرات وتعزيز جودة الأداء وتحقيق نتائج قابلة للقياس.</w:t>
      </w:r>
    </w:p>
    <w:p>
      <w:pPr>
        <w:bidi w:val="false"/>
        <w:spacing w:after="60" w:before="60" w:line="264"/>
      </w:pPr>
      <w:r>
        <w:rPr>
          <w:rFonts w:ascii="Calibri" w:cs="Calibri" w:hAnsi="Calibri"/>
          <w:b/>
          <w:bCs/>
          <w:i w:val="false"/>
          <w:iCs w:val="false"/>
          <w:caps/>
          <w:color w:val="4B8834"/>
          <w:spacing w:val="20"/>
          <w:sz w:val="17"/>
          <w:szCs w:val="17"/>
          <w:rtl w:val="false"/>
        </w:rPr>
        <w:t xml:space="preserve">English</w:t>
      </w:r>
    </w:p>
    <w:p>
      <w:pPr>
        <w:bidi w:val="false"/>
        <w:spacing w:after="140" w:before="0" w:line="274"/>
        <w:jc w:val="both"/>
      </w:pPr>
      <w:r>
        <w:rPr>
          <w:rFonts w:ascii="Calibri" w:cs="Calibri" w:hAnsi="Calibri"/>
          <w:b w:val="false"/>
          <w:bCs w:val="false"/>
          <w:i w:val="false"/>
          <w:iCs w:val="false"/>
          <w:caps w:val="false"/>
          <w:color w:val="2C3A45"/>
          <w:sz w:val="20"/>
          <w:szCs w:val="20"/>
          <w:rtl w:val="false"/>
        </w:rPr>
        <w:t xml:space="preserve">We are committed to delivering </w:t>
      </w:r>
      <w:r>
        <w:rPr>
          <w:rFonts w:ascii="Calibri" w:cs="Calibri" w:hAnsi="Calibri"/>
          <w:b/>
          <w:bCs/>
          <w:i w:val="false"/>
          <w:iCs w:val="false"/>
          <w:caps w:val="false"/>
          <w:color w:val="4B8834"/>
          <w:sz w:val="20"/>
          <w:szCs w:val="20"/>
          <w:rtl w:val="false"/>
        </w:rPr>
        <w:t xml:space="preserve">quality, evidence-based services grounded in clear methodologies</w:t>
      </w:r>
      <w:r>
        <w:rPr>
          <w:rFonts w:ascii="Calibri" w:cs="Calibri" w:hAnsi="Calibri"/>
          <w:b w:val="false"/>
          <w:bCs w:val="false"/>
          <w:i w:val="false"/>
          <w:iCs w:val="false"/>
          <w:caps w:val="false"/>
          <w:color w:val="2C3A45"/>
          <w:sz w:val="20"/>
          <w:szCs w:val="20"/>
          <w:rtl w:val="false"/>
        </w:rPr>
        <w:t xml:space="preserve">, while maintaining professionalism, independence, confidentiality, and a strong focus on capacity strengthening, performance improvement, and measurable results.</w:t>
      </w:r>
    </w:p>
    <w:p>
      <w:pPr>
        <w:bidi w:val="false"/>
        <w:spacing w:after="60" w:before="60" w:line="264"/>
      </w:pPr>
      <w:r>
        <w:rPr>
          <w:rFonts w:ascii="Calibri" w:cs="Calibri" w:hAnsi="Calibri"/>
          <w:b/>
          <w:bCs/>
          <w:i w:val="false"/>
          <w:iCs w:val="false"/>
          <w:caps/>
          <w:color w:val="4B8834"/>
          <w:spacing w:val="20"/>
          <w:sz w:val="17"/>
          <w:szCs w:val="17"/>
          <w:rtl w:val="false"/>
        </w:rPr>
        <w:t xml:space="preserve">Français</w:t>
      </w:r>
    </w:p>
    <w:p>
      <w:pPr>
        <w:bidi w:val="false"/>
        <w:spacing w:after="140" w:before="0" w:line="274"/>
        <w:jc w:val="both"/>
      </w:pPr>
      <w:r>
        <w:rPr>
          <w:rFonts w:ascii="Calibri" w:cs="Calibri" w:hAnsi="Calibri"/>
          <w:b w:val="false"/>
          <w:bCs w:val="false"/>
          <w:i w:val="false"/>
          <w:iCs w:val="false"/>
          <w:caps w:val="false"/>
          <w:color w:val="2C3A45"/>
          <w:sz w:val="20"/>
          <w:szCs w:val="20"/>
          <w:rtl w:val="false"/>
        </w:rPr>
        <w:t xml:space="preserve">Nous nous engageons à fournir des services </w:t>
      </w:r>
      <w:r>
        <w:rPr>
          <w:rFonts w:ascii="Calibri" w:cs="Calibri" w:hAnsi="Calibri"/>
          <w:b/>
          <w:bCs/>
          <w:i w:val="false"/>
          <w:iCs w:val="false"/>
          <w:caps w:val="false"/>
          <w:color w:val="4B8834"/>
          <w:sz w:val="20"/>
          <w:szCs w:val="20"/>
          <w:rtl w:val="false"/>
        </w:rPr>
        <w:t xml:space="preserve">de qualité, fondés sur les données probantes et reposant sur des méthodologies claires</w:t>
      </w:r>
      <w:r>
        <w:rPr>
          <w:rFonts w:ascii="Calibri" w:cs="Calibri" w:hAnsi="Calibri"/>
          <w:b w:val="false"/>
          <w:bCs w:val="false"/>
          <w:i w:val="false"/>
          <w:iCs w:val="false"/>
          <w:caps w:val="false"/>
          <w:color w:val="2C3A45"/>
          <w:sz w:val="20"/>
          <w:szCs w:val="20"/>
          <w:rtl w:val="false"/>
        </w:rPr>
        <w:t xml:space="preserve">, tout en garantissant professionnalisme, indépendance, confidentialité et orientation vers le renforcement des capacités, l’amélioration de la performance et des résultats mesurables.</w:t>
      </w:r>
    </w:p>
    <w:p>
      <w:pPr>
        <w:spacing w:after="200" w:line="200"/>
      </w:pPr>
    </w:p>
    <w:p>
      <w:pPr>
        <w:bidi w:val="false"/>
        <w:spacing w:after="120" w:before="0" w:line="264"/>
      </w:pPr>
      <w:r>
        <w:rPr>
          <w:rFonts w:ascii="Calibri" w:cs="Calibri" w:hAnsi="Calibri"/>
          <w:b/>
          <w:bCs/>
          <w:i w:val="false"/>
          <w:iCs w:val="false"/>
          <w:caps w:val="false"/>
          <w:color w:val="0F2E4A"/>
          <w:sz w:val="22"/>
          <w:szCs w:val="22"/>
          <w:rtl w:val="false"/>
        </w:rPr>
        <w:t xml:space="preserve">Contact</w:t>
      </w:r>
      <w:r>
        <w:rPr>
          <w:rFonts w:ascii="Calibri" w:cs="Calibri" w:hAnsi="Calibri"/>
          <w:b w:val="false"/>
          <w:bCs w:val="false"/>
          <w:i w:val="false"/>
          <w:iCs w:val="false"/>
          <w:caps w:val="false"/>
          <w:color w:val="4B8834"/>
          <w:sz w:val="18"/>
          <w:szCs w:val="18"/>
          <w:rtl w:val="false"/>
        </w:rPr>
        <w:t xml:space="preserve">   •   </w:t>
      </w:r>
      <w:r>
        <w:rPr>
          <w:rFonts w:ascii="Calibri" w:cs="Arial" w:hAnsi="Calibri"/>
          <w:b/>
          <w:bCs/>
          <w:i w:val="false"/>
          <w:iCs w:val="false"/>
          <w:caps w:val="false"/>
          <w:color w:val="4B8834"/>
          <w:sz w:val="20"/>
          <w:szCs w:val="20"/>
          <w:rtl/>
        </w:rPr>
        <w:t xml:space="preserve">تواصل معنا</w:t>
      </w:r>
    </w:p>
    <w:tbl>
      <w:tblPr>
        <w:tblW w:type="dxa" w:w="9864"/>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4932"/>
        <w:gridCol w:w="4932"/>
      </w:tblGrid>
      <w:tr>
        <w:tc>
          <w:tcPr>
            <w:tcW w:type="dxa" w:w="4932"/>
            <w:tcBorders>
              <w:top w:val="none" w:color="FFFFFF" w:sz="0"/>
              <w:left w:val="single" w:color="4B8834" w:sz="24"/>
              <w:bottom w:val="none" w:color="FFFFFF" w:sz="0"/>
              <w:right w:val="none" w:color="FFFFFF" w:sz="0"/>
            </w:tcBorders>
            <w:shd w:fill="EDF2F7" w:color="auto" w:val="clear"/>
            <w:tcMar>
              <w:top w:type="dxa" w:w="110"/>
              <w:left w:type="dxa" w:w="180"/>
              <w:bottom w:type="dxa" w:w="110"/>
              <w:right w:type="dxa" w:w="180"/>
            </w:tcMar>
            <w:vAlign w:val="center"/>
          </w:tcPr>
          <w:p>
            <w:pPr>
              <w:bidi w:val="false"/>
              <w:spacing w:after="30" w:before="0" w:line="264"/>
            </w:pPr>
            <w:r>
              <w:rPr>
                <w:rFonts w:ascii="Calibri" w:cs="Calibri" w:hAnsi="Calibri"/>
                <w:b/>
                <w:bCs/>
                <w:i w:val="false"/>
                <w:iCs w:val="false"/>
                <w:caps w:val="false"/>
                <w:color w:val="0F2E4A"/>
                <w:sz w:val="16"/>
                <w:szCs w:val="16"/>
                <w:rtl w:val="false"/>
              </w:rPr>
              <w:t xml:space="preserve">Email  |  البريد الإلكتروني</w:t>
            </w:r>
          </w:p>
          <w:p>
            <w:pPr>
              <w:bidi w:val="false"/>
              <w:spacing w:after="0" w:before="0" w:line="264"/>
            </w:pPr>
            <w:r>
              <w:rPr>
                <w:rFonts w:ascii="Calibri" w:cs="Calibri" w:hAnsi="Calibri"/>
                <w:b w:val="false"/>
                <w:bCs w:val="false"/>
                <w:i w:val="false"/>
                <w:iCs w:val="false"/>
                <w:caps w:val="false"/>
                <w:color w:val="6B7C89"/>
                <w:sz w:val="18"/>
                <w:szCs w:val="18"/>
                <w:rtl w:val="false"/>
              </w:rPr>
              <w:t xml:space="preserve">________________________</w:t>
            </w:r>
          </w:p>
        </w:tc>
        <w:tc>
          <w:tcPr>
            <w:tcW w:type="dxa" w:w="4932"/>
            <w:tcBorders>
              <w:top w:val="none" w:color="FFFFFF" w:sz="0"/>
              <w:left w:val="single" w:color="4B8834" w:sz="24"/>
              <w:bottom w:val="none" w:color="FFFFFF" w:sz="0"/>
              <w:right w:val="none" w:color="FFFFFF" w:sz="0"/>
            </w:tcBorders>
            <w:shd w:fill="EDF2F7" w:color="auto" w:val="clear"/>
            <w:tcMar>
              <w:top w:type="dxa" w:w="110"/>
              <w:left w:type="dxa" w:w="180"/>
              <w:bottom w:type="dxa" w:w="110"/>
              <w:right w:type="dxa" w:w="180"/>
            </w:tcMar>
            <w:vAlign w:val="center"/>
          </w:tcPr>
          <w:p>
            <w:pPr>
              <w:bidi w:val="false"/>
              <w:spacing w:after="30" w:before="0" w:line="264"/>
            </w:pPr>
            <w:r>
              <w:rPr>
                <w:rFonts w:ascii="Calibri" w:cs="Calibri" w:hAnsi="Calibri"/>
                <w:b/>
                <w:bCs/>
                <w:i w:val="false"/>
                <w:iCs w:val="false"/>
                <w:caps w:val="false"/>
                <w:color w:val="0F2E4A"/>
                <w:sz w:val="16"/>
                <w:szCs w:val="16"/>
                <w:rtl w:val="false"/>
              </w:rPr>
              <w:t xml:space="preserve">Phone  |  الهاتف</w:t>
            </w:r>
          </w:p>
          <w:p>
            <w:pPr>
              <w:bidi w:val="false"/>
              <w:spacing w:after="0" w:before="0" w:line="264"/>
            </w:pPr>
            <w:r>
              <w:rPr>
                <w:rFonts w:ascii="Calibri" w:cs="Calibri" w:hAnsi="Calibri"/>
                <w:b w:val="false"/>
                <w:bCs w:val="false"/>
                <w:i w:val="false"/>
                <w:iCs w:val="false"/>
                <w:caps w:val="false"/>
                <w:color w:val="6B7C89"/>
                <w:sz w:val="18"/>
                <w:szCs w:val="18"/>
                <w:rtl w:val="false"/>
              </w:rPr>
              <w:t xml:space="preserve">________________________</w:t>
            </w:r>
          </w:p>
        </w:tc>
      </w:tr>
      <w:tr>
        <w:trPr>
          <w:trHeight w:val="90" w:hRule="exact"/>
        </w:trPr>
        <w:tc>
          <w:tcPr>
            <w:tcW w:type="dxa" w:w="493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c>
          <w:tcPr>
            <w:tcW w:type="dxa" w:w="493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r>
      <w:tr>
        <w:tc>
          <w:tcPr>
            <w:tcW w:type="dxa" w:w="4932"/>
            <w:tcBorders>
              <w:top w:val="none" w:color="FFFFFF" w:sz="0"/>
              <w:left w:val="single" w:color="4B8834" w:sz="24"/>
              <w:bottom w:val="none" w:color="FFFFFF" w:sz="0"/>
              <w:right w:val="none" w:color="FFFFFF" w:sz="0"/>
            </w:tcBorders>
            <w:shd w:fill="EDF2F7" w:color="auto" w:val="clear"/>
            <w:tcMar>
              <w:top w:type="dxa" w:w="110"/>
              <w:left w:type="dxa" w:w="180"/>
              <w:bottom w:type="dxa" w:w="110"/>
              <w:right w:type="dxa" w:w="180"/>
            </w:tcMar>
            <w:vAlign w:val="center"/>
          </w:tcPr>
          <w:p>
            <w:pPr>
              <w:bidi w:val="false"/>
              <w:spacing w:after="30" w:before="0" w:line="264"/>
            </w:pPr>
            <w:r>
              <w:rPr>
                <w:rFonts w:ascii="Calibri" w:cs="Calibri" w:hAnsi="Calibri"/>
                <w:b/>
                <w:bCs/>
                <w:i w:val="false"/>
                <w:iCs w:val="false"/>
                <w:caps w:val="false"/>
                <w:color w:val="0F2E4A"/>
                <w:sz w:val="16"/>
                <w:szCs w:val="16"/>
                <w:rtl w:val="false"/>
              </w:rPr>
              <w:t xml:space="preserve">Website  |  الموقع الإلكتروني</w:t>
            </w:r>
          </w:p>
          <w:p>
            <w:pPr>
              <w:bidi w:val="false"/>
              <w:spacing w:after="0" w:before="0" w:line="264"/>
            </w:pPr>
            <w:r>
              <w:rPr>
                <w:rFonts w:ascii="Calibri" w:cs="Calibri" w:hAnsi="Calibri"/>
                <w:b w:val="false"/>
                <w:bCs w:val="false"/>
                <w:i w:val="false"/>
                <w:iCs w:val="false"/>
                <w:caps w:val="false"/>
                <w:color w:val="6B7C89"/>
                <w:sz w:val="18"/>
                <w:szCs w:val="18"/>
                <w:rtl w:val="false"/>
              </w:rPr>
              <w:t xml:space="preserve">________________________</w:t>
            </w:r>
          </w:p>
        </w:tc>
        <w:tc>
          <w:tcPr>
            <w:tcW w:type="dxa" w:w="4932"/>
            <w:tcBorders>
              <w:top w:val="none" w:color="FFFFFF" w:sz="0"/>
              <w:left w:val="single" w:color="4B8834" w:sz="24"/>
              <w:bottom w:val="none" w:color="FFFFFF" w:sz="0"/>
              <w:right w:val="none" w:color="FFFFFF" w:sz="0"/>
            </w:tcBorders>
            <w:shd w:fill="EDF2F7" w:color="auto" w:val="clear"/>
            <w:tcMar>
              <w:top w:type="dxa" w:w="110"/>
              <w:left w:type="dxa" w:w="180"/>
              <w:bottom w:type="dxa" w:w="110"/>
              <w:right w:type="dxa" w:w="180"/>
            </w:tcMar>
            <w:vAlign w:val="center"/>
          </w:tcPr>
          <w:p>
            <w:pPr>
              <w:bidi w:val="false"/>
              <w:spacing w:after="30" w:before="0" w:line="264"/>
            </w:pPr>
            <w:r>
              <w:rPr>
                <w:rFonts w:ascii="Calibri" w:cs="Calibri" w:hAnsi="Calibri"/>
                <w:b/>
                <w:bCs/>
                <w:i w:val="false"/>
                <w:iCs w:val="false"/>
                <w:caps w:val="false"/>
                <w:color w:val="0F2E4A"/>
                <w:sz w:val="16"/>
                <w:szCs w:val="16"/>
                <w:rtl w:val="false"/>
              </w:rPr>
              <w:t xml:space="preserve">Address  |  العنوان</w:t>
            </w:r>
          </w:p>
          <w:p>
            <w:pPr>
              <w:bidi w:val="false"/>
              <w:spacing w:after="0" w:before="0" w:line="264"/>
            </w:pPr>
            <w:r>
              <w:rPr>
                <w:rFonts w:ascii="Calibri" w:cs="Calibri" w:hAnsi="Calibri"/>
                <w:b w:val="false"/>
                <w:bCs w:val="false"/>
                <w:i w:val="false"/>
                <w:iCs w:val="false"/>
                <w:caps w:val="false"/>
                <w:color w:val="6B7C89"/>
                <w:sz w:val="18"/>
                <w:szCs w:val="18"/>
                <w:rtl w:val="false"/>
              </w:rPr>
              <w:t xml:space="preserve">________________________</w:t>
            </w:r>
          </w:p>
        </w:tc>
      </w:tr>
      <w:tr>
        <w:trPr>
          <w:trHeight w:val="90" w:hRule="exact"/>
        </w:trPr>
        <w:tc>
          <w:tcPr>
            <w:tcW w:type="dxa" w:w="493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c>
          <w:tcPr>
            <w:tcW w:type="dxa" w:w="4932"/>
            <w:tcBorders>
              <w:top w:val="none" w:color="FFFFFF" w:sz="0"/>
              <w:left w:val="none" w:color="FFFFFF" w:sz="0"/>
              <w:bottom w:val="none" w:color="FFFFFF" w:sz="0"/>
              <w:right w:val="none" w:color="FFFFFF" w:sz="0"/>
            </w:tcBorders>
            <w:tcMar>
              <w:top w:type="dxa" w:w="90"/>
              <w:left w:type="dxa" w:w="150"/>
              <w:bottom w:type="dxa" w:w="90"/>
              <w:right w:type="dxa" w:w="150"/>
            </w:tcMar>
            <w:vAlign w:val="center"/>
          </w:tcPr>
          <w:p>
            <w:pPr>
              <w:bidi w:val="false"/>
              <w:spacing w:after="0" w:before="0" w:line="264"/>
            </w:pPr>
          </w:p>
        </w:tc>
      </w:tr>
    </w:tbl>
    <w:p>
      <w:pPr>
        <w:sectPr>
          <w:footerReference w:type="default" r:id="rId7"/>
          <w:pgSz w:w="11906" w:h="16838" w:orient="portrait"/>
          <w:pgMar w:top="1021" w:right="1021" w:bottom="1021" w:left="1021" w:header="708" w:footer="560" w:gutter="0"/>
          <w:pgNumType/>
          <w:docGrid w:linePitch="360"/>
        </w:sectPr>
      </w:pPr>
    </w:p>
    <w:tbl>
      <w:tblPr>
        <w:tblW w:type="dxa" w:w="11906"/>
        <w:tblBorders>
          <w:top w:val="none" w:color="FFFFFF" w:sz="0"/>
          <w:left w:val="none" w:color="FFFFFF" w:sz="0"/>
          <w:bottom w:val="none" w:color="FFFFFF" w:sz="0"/>
          <w:right w:val="none" w:color="FFFFFF" w:sz="0"/>
          <w:insideH w:val="single" w:color="auto" w:sz="4"/>
          <w:insideV w:val="single" w:color="auto" w:sz="4"/>
        </w:tblBorders>
        <w:tblLayout w:type="fixed"/>
      </w:tblPr>
      <w:tblGrid>
        <w:gridCol w:w="11906"/>
      </w:tblGrid>
      <w:tr>
        <w:trPr>
          <w:trHeight w:val="16600" w:hRule="exact"/>
        </w:trPr>
        <w:tc>
          <w:tcPr>
            <w:tcW w:type="dxa" w:w="11906"/>
            <w:tcBorders>
              <w:top w:val="none" w:color="FFFFFF" w:sz="0"/>
              <w:left w:val="none" w:color="FFFFFF" w:sz="0"/>
              <w:bottom w:val="none" w:color="FFFFFF" w:sz="0"/>
              <w:right w:val="none" w:color="FFFFFF" w:sz="0"/>
            </w:tcBorders>
            <w:shd w:fill="0F2E4A" w:color="auto" w:val="clear"/>
            <w:tcMar>
              <w:top w:type="dxa" w:w="0"/>
              <w:left w:type="dxa" w:w="0"/>
              <w:bottom w:type="dxa" w:w="0"/>
              <w:right w:type="dxa" w:w="0"/>
            </w:tcMar>
            <w:vAlign w:val="center"/>
          </w:tcPr>
          <w:p>
            <w:pPr>
              <w:spacing w:after="220"/>
              <w:jc w:val="center"/>
            </w:pPr>
            <w:r>
              <w:drawing>
                <wp:inline distT="0" distB="0" distL="0" distR="0">
                  <wp:extent cx="314325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19325"/>
                          </a:xfrm>
                          <a:prstGeom prst="rect">
                            <a:avLst/>
                          </a:prstGeom>
                        </pic:spPr>
                      </pic:pic>
                    </a:graphicData>
                  </a:graphic>
                </wp:inline>
              </w:drawing>
            </w:r>
          </w:p>
          <w:p>
            <w:pPr>
              <w:bidi w:val="false"/>
              <w:spacing w:after="24" w:before="0" w:line="264"/>
              <w:jc w:val="center"/>
            </w:pPr>
            <w:r>
              <w:rPr>
                <w:rFonts w:ascii="Calibri" w:cs="Calibri" w:hAnsi="Calibri"/>
                <w:b/>
                <w:bCs/>
                <w:i w:val="false"/>
                <w:iCs w:val="false"/>
                <w:caps w:val="false"/>
                <w:color w:val="FFFFFF"/>
                <w:sz w:val="25"/>
                <w:szCs w:val="25"/>
                <w:rtl w:val="false"/>
              </w:rPr>
              <w:t xml:space="preserve">SHAT Development &amp; Growth</w:t>
            </w:r>
          </w:p>
          <w:p>
            <w:pPr>
              <w:bidi/>
              <w:spacing w:after="220" w:before="0" w:line="264"/>
              <w:jc w:val="center"/>
            </w:pPr>
            <w:r>
              <w:rPr>
                <w:rFonts w:ascii="Calibri" w:cs="Arial" w:hAnsi="Calibri"/>
                <w:b w:val="false"/>
                <w:bCs w:val="false"/>
                <w:i w:val="false"/>
                <w:iCs w:val="false"/>
                <w:caps w:val="false"/>
                <w:color w:val="CFE0CF"/>
                <w:sz w:val="21"/>
                <w:szCs w:val="21"/>
                <w:rtl/>
              </w:rPr>
              <w:t xml:space="preserve">شركة شات للتنمية والتطوير</w:t>
            </w:r>
          </w:p>
          <w:p>
            <w:pPr>
              <w:pBdr>
                <w:bottom w:val="single" w:color="5EA02F" w:sz="8"/>
              </w:pBdr>
              <w:spacing w:after="200" w:line="40"/>
              <w:ind w:left="3600" w:right="3600"/>
              <w:jc w:val="center"/>
            </w:pPr>
            <w:r>
              <w:rPr>
                <w:rFonts w:ascii="Calibri" w:cs="Calibri" w:hAnsi="Calibri"/>
                <w:b w:val="false"/>
                <w:bCs w:val="false"/>
                <w:i w:val="false"/>
                <w:iCs w:val="false"/>
                <w:caps w:val="false"/>
                <w:color w:val="2C3A45"/>
                <w:sz w:val="2"/>
                <w:szCs w:val="2"/>
                <w:rtl w:val="false"/>
              </w:rPr>
              <w:t xml:space="preserve"/>
            </w:r>
          </w:p>
          <w:p>
            <w:pPr>
              <w:bidi w:val="false"/>
              <w:spacing w:after="8" w:before="0" w:line="264"/>
              <w:jc w:val="center"/>
            </w:pPr>
            <w:r>
              <w:rPr>
                <w:rFonts w:ascii="Calibri" w:cs="Calibri" w:hAnsi="Calibri"/>
                <w:b w:val="false"/>
                <w:bCs w:val="false"/>
                <w:i w:val="false"/>
                <w:iCs w:val="false"/>
                <w:caps w:val="false"/>
                <w:color w:val="CFE0CF"/>
                <w:sz w:val="16"/>
                <w:szCs w:val="16"/>
                <w:rtl w:val="false"/>
              </w:rPr>
              <w:t xml:space="preserve">Building Capacity  •  Strengthening Institutions  •  Advancing Results</w:t>
            </w:r>
          </w:p>
          <w:p>
            <w:pPr>
              <w:bidi/>
              <w:spacing w:after="260" w:before="0" w:line="264"/>
              <w:jc w:val="center"/>
            </w:pPr>
            <w:r>
              <w:rPr>
                <w:rFonts w:ascii="Calibri" w:cs="Arial" w:hAnsi="Calibri"/>
                <w:b w:val="false"/>
                <w:bCs w:val="false"/>
                <w:i w:val="false"/>
                <w:iCs w:val="false"/>
                <w:caps w:val="false"/>
                <w:color w:val="CFE0CF"/>
                <w:sz w:val="16"/>
                <w:szCs w:val="16"/>
                <w:rtl/>
              </w:rPr>
              <w:t xml:space="preserve">بناء القدرات  •  تعزيز المؤسسات  •  تطوير النتائج</w:t>
            </w:r>
          </w:p>
          <w:p>
            <w:pPr>
              <w:bidi w:val="false"/>
              <w:spacing w:after="0" w:before="0" w:line="264"/>
              <w:jc w:val="center"/>
            </w:pPr>
            <w:r>
              <w:rPr>
                <w:rFonts w:ascii="Calibri" w:cs="Calibri" w:hAnsi="Calibri"/>
                <w:b/>
                <w:bCs/>
                <w:i w:val="false"/>
                <w:iCs w:val="false"/>
                <w:caps w:val="false"/>
                <w:color w:val="5EA02F"/>
                <w:spacing w:val="30"/>
                <w:sz w:val="14"/>
                <w:szCs w:val="14"/>
                <w:rtl w:val="false"/>
              </w:rPr>
              <w:t xml:space="preserve">PEOPLE</w:t>
            </w:r>
            <w:r>
              <w:rPr>
                <w:rFonts w:ascii="Calibri" w:cs="Calibri" w:hAnsi="Calibri"/>
                <w:b w:val="false"/>
                <w:bCs w:val="false"/>
                <w:i w:val="false"/>
                <w:iCs w:val="false"/>
                <w:caps w:val="false"/>
                <w:color w:val="CFE0CF"/>
                <w:sz w:val="14"/>
                <w:szCs w:val="14"/>
                <w:rtl w:val="false"/>
              </w:rPr>
              <w:t xml:space="preserve">   •   </w:t>
            </w:r>
            <w:r>
              <w:rPr>
                <w:rFonts w:ascii="Calibri" w:cs="Calibri" w:hAnsi="Calibri"/>
                <w:b/>
                <w:bCs/>
                <w:i w:val="false"/>
                <w:iCs w:val="false"/>
                <w:caps w:val="false"/>
                <w:color w:val="5EA02F"/>
                <w:spacing w:val="30"/>
                <w:sz w:val="14"/>
                <w:szCs w:val="14"/>
                <w:rtl w:val="false"/>
              </w:rPr>
              <w:t xml:space="preserve">SKILLS</w:t>
            </w:r>
            <w:r>
              <w:rPr>
                <w:rFonts w:ascii="Calibri" w:cs="Calibri" w:hAnsi="Calibri"/>
                <w:b w:val="false"/>
                <w:bCs w:val="false"/>
                <w:i w:val="false"/>
                <w:iCs w:val="false"/>
                <w:caps w:val="false"/>
                <w:color w:val="CFE0CF"/>
                <w:sz w:val="14"/>
                <w:szCs w:val="14"/>
                <w:rtl w:val="false"/>
              </w:rPr>
              <w:t xml:space="preserve">   •   </w:t>
            </w:r>
            <w:r>
              <w:rPr>
                <w:rFonts w:ascii="Calibri" w:cs="Calibri" w:hAnsi="Calibri"/>
                <w:b/>
                <w:bCs/>
                <w:i w:val="false"/>
                <w:iCs w:val="false"/>
                <w:caps w:val="false"/>
                <w:color w:val="5EA02F"/>
                <w:spacing w:val="30"/>
                <w:sz w:val="14"/>
                <w:szCs w:val="14"/>
                <w:rtl w:val="false"/>
              </w:rPr>
              <w:t xml:space="preserve">A BRIGHTER TOMORROW</w:t>
            </w:r>
          </w:p>
        </w:tc>
      </w:tr>
    </w:tbl>
    <w:sectPr>
      <w:footerReference w:type="default" r:id="rId8"/>
      <w:pgSz w:w="11906" w:h="16838" w:orient="portrait"/>
      <w:pgMar w:top="0" w:right="0" w:bottom="0" w:left="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EE5" w:sz="6"/>
      </w:pBdr>
      <w:tabs>
        <w:tab w:val="right" w:pos="9864"/>
      </w:tabs>
      <w:spacing w:before="60"/>
    </w:pPr>
    <w:r>
      <w:rPr>
        <w:rFonts w:ascii="Calibri" w:cs="Calibri" w:hAnsi="Calibri"/>
        <w:b/>
        <w:bCs/>
        <w:i w:val="false"/>
        <w:iCs w:val="false"/>
        <w:caps w:val="false"/>
        <w:color w:val="6B7C89"/>
        <w:sz w:val="15"/>
        <w:szCs w:val="15"/>
        <w:rtl w:val="false"/>
      </w:rPr>
      <w:t xml:space="preserve">SHAT Development &amp; Growth</w:t>
    </w:r>
    <w:r>
      <w:rPr>
        <w:rFonts w:ascii="Calibri" w:cs="Calibri" w:hAnsi="Calibri"/>
        <w:b w:val="false"/>
        <w:bCs w:val="false"/>
        <w:i w:val="false"/>
        <w:iCs w:val="false"/>
        <w:caps w:val="false"/>
        <w:color w:val="6B7C89"/>
        <w:sz w:val="15"/>
        <w:szCs w:val="15"/>
        <w:rtl w:val="false"/>
      </w:rPr>
      <w:t xml:space="preserve">    •    Company Profile</w:t>
    </w:r>
    <w:r>
      <w:rPr>
        <w:rFonts w:ascii="Calibri"/>
      </w:rPr>
      <w:t xml:space="preserve">	</w:t>
    </w:r>
    <w:r>
      <w:rPr>
        <w:rFonts w:ascii="Calibri"/>
        <w:color w:val="6B7C89"/>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A4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d96a5cd34c904ad9f63ce32c50836d30ed3e72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SHAT — Company Profile</dc:title>
  <dc:creator>SHAT Development &amp; Growth</dc:creator>
  <cp:lastModifiedBy>Un-named</cp:lastModifiedBy>
  <cp:revision>1</cp:revision>
  <dcterms:created xsi:type="dcterms:W3CDTF">2026-09-21T09:55:34.615Z</dcterms:created>
  <dcterms:modified xsi:type="dcterms:W3CDTF">2026-09-21T09:55:34.616Z</dcterms:modified>
</cp:coreProperties>
</file>

<file path=docProps/custom.xml><?xml version="1.0" encoding="utf-8"?>
<Properties xmlns="http://schemas.openxmlformats.org/officeDocument/2006/custom-properties" xmlns:vt="http://schemas.openxmlformats.org/officeDocument/2006/docPropsVTypes"/>
</file>