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2800" w:hRule="exact"/>
        </w:trPr>
        <w:tc>
          <w:tcPr>
            <w:tcW w:type="pct" w:w="100%"/>
            <w:shd w:fill="005f73" w:val="clear"/>
            <w:vAlign w:val="center"/>
          </w:tcPr>
          <w:p>
            <w:pPr>
              <w:spacing w:line="480"/>
              <w:jc w:val="center"/>
            </w:pPr>
            <w:r>
              <w:rPr>
                <w:rFonts w:ascii="Cairo" w:eastAsia="Cairo"/>
                <w:b/>
                <w:bCs/>
                <w:color w:val="FFFFFF"/>
                <w:sz w:val="56"/>
                <w:szCs w:val="56"/>
              </w:rPr>
              <w:t xml:space="preserve">Accounting Pro</w:t>
            </w:r>
          </w:p>
          <w:p>
            <w:pPr>
              <w:spacing w:line="380"/>
              <w:jc w:val="center"/>
            </w:pPr>
            <w:r>
              <w:rPr>
                <w:rFonts w:ascii="Cairo" w:eastAsia="Cairo"/>
                <w:color w:val="94d2bd"/>
                <w:sz w:val="28"/>
                <w:szCs w:val="28"/>
              </w:rPr>
              <w:t xml:space="preserve">نظام محاسبي وإداري متكامل لأنظمة ويندوز</w:t>
            </w:r>
          </w:p>
        </w:tc>
      </w:tr>
      <w:tr>
        <w:trPr>
          <w:trHeight w:val="400" w:hRule="exact"/>
        </w:trPr>
        <w:tc>
          <w:tcPr>
            <w:shd w:fill="f8f9fa" w:val="clear"/>
          </w:tcPr>
          <w:p/>
        </w:tc>
      </w:tr>
      <w:tr>
        <w:trPr>
          <w:trHeight w:val="7000" w:hRule="exact"/>
        </w:trPr>
        <w:tc>
          <w:tcPr>
            <w:shd w:fill="f8f9fa" w:val="clear"/>
            <w:vAlign w:val="top"/>
          </w:tcPr>
          <w:p>
            <w:pPr>
              <w:spacing w:before="300"/>
            </w:pPr>
          </w:p>
          <w:p>
            <w:pPr>
              <w:spacing w:after="160" w:line="360"/>
              <w:jc w:val="center"/>
            </w:pPr>
            <w:r>
              <w:rPr>
                <w:rFonts w:ascii="Cairo" w:eastAsia="Cairo"/>
                <w:b/>
                <w:bCs/>
                <w:color w:val="0a9396"/>
                <w:sz w:val="38"/>
                <w:szCs w:val="38"/>
              </w:rPr>
              <w:t xml:space="preserve">وثيقة بناء المشروع التقنية</w:t>
            </w:r>
          </w:p>
          <w:p>
            <w:pPr>
              <w:spacing w:after="80" w:line="320"/>
              <w:jc w:val="center"/>
            </w:pPr>
            <w:r>
              <w:rPr>
                <w:rFonts w:ascii="Cairo" w:eastAsia="Cairo"/>
                <w:i/>
                <w:iCs/>
                <w:color w:val="6c757d"/>
                <w:sz w:val="24"/>
                <w:szCs w:val="24"/>
              </w:rPr>
              <w:t xml:space="preserve">Technical Project Build Document</w:t>
            </w:r>
          </w:p>
          <w:p>
            <w:pPr>
              <w:spacing w:after="300"/>
            </w:pP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tblGrid>
            <w:tr>
              <w:trPr>
                <w:cantSplit/>
                <w:tblHeader/>
              </w:trPr>
              <w:tc>
                <w:tcPr>
                  <w:tcW w:type="pct" w:w="4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البند</w:t>
                  </w:r>
                </w:p>
              </w:tc>
              <w:tc>
                <w:tcPr>
                  <w:tcW w:type="pct" w:w="6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القيمة</w:t>
                  </w:r>
                </w:p>
              </w:tc>
            </w:tr>
            <w:tr>
              <w:trPr>
                <w:cantSplit/>
              </w:trPr>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إصدار الوثيقة</w:t>
                  </w:r>
                </w:p>
              </w:tc>
              <w:tc>
                <w:tcPr>
                  <w:tcW w:type="pct" w:w="60%"/>
                  <w:shd w:fill="FFFFFF" w:val="clear"/>
                  <w:tcMar>
                    <w:top w:type="dxa" w:w="60"/>
                    <w:left w:type="dxa" w:w="100"/>
                    <w:bottom w:type="dxa" w:w="60"/>
                    <w:right w:type="dxa" w:w="100"/>
                  </w:tcMar>
                </w:tcPr>
                <w:p>
                  <w:pPr>
                    <w:jc w:val="right"/>
                  </w:pPr>
                  <w:r>
                    <w:rPr>
                      <w:rFonts w:ascii="Cairo" w:eastAsia="Cairo"/>
                      <w:color w:val="1a1a2e"/>
                      <w:sz w:val="21"/>
                      <w:szCs w:val="21"/>
                    </w:rPr>
                    <w:t xml:space="preserve">Version 1.0</w:t>
                  </w:r>
                </w:p>
              </w:tc>
            </w:tr>
            <w:tr>
              <w:trPr>
                <w:cantSplit/>
              </w:trPr>
              <w:tc>
                <w:tcPr>
                  <w:tcW w:type="pct" w:w="40%"/>
                  <w:shd w:fill="f8f9fa" w:val="clear"/>
                  <w:tcMar>
                    <w:top w:type="dxa" w:w="60"/>
                    <w:left w:type="dxa" w:w="100"/>
                    <w:bottom w:type="dxa" w:w="60"/>
                    <w:right w:type="dxa" w:w="100"/>
                  </w:tcMar>
                </w:tcPr>
                <w:p>
                  <w:pPr>
                    <w:jc w:val="right"/>
                  </w:pPr>
                  <w:r>
                    <w:rPr>
                      <w:rFonts w:ascii="Cairo" w:eastAsia="Cairo"/>
                      <w:color w:val="1a1a2e"/>
                      <w:sz w:val="21"/>
                      <w:szCs w:val="21"/>
                    </w:rPr>
                    <w:t xml:space="preserve">تاريخ الإصدار</w:t>
                  </w:r>
                </w:p>
              </w:tc>
              <w:tc>
                <w:tcPr>
                  <w:tcW w:type="pct" w:w="60%"/>
                  <w:shd w:fill="f8f9fa" w:val="clear"/>
                  <w:tcMar>
                    <w:top w:type="dxa" w:w="60"/>
                    <w:left w:type="dxa" w:w="100"/>
                    <w:bottom w:type="dxa" w:w="60"/>
                    <w:right w:type="dxa" w:w="100"/>
                  </w:tcMar>
                </w:tcPr>
                <w:p>
                  <w:pPr>
                    <w:jc w:val="right"/>
                  </w:pPr>
                  <w:r>
                    <w:rPr>
                      <w:rFonts w:ascii="Cairo" w:eastAsia="Cairo"/>
                      <w:color w:val="1a1a2e"/>
                      <w:sz w:val="21"/>
                      <w:szCs w:val="21"/>
                    </w:rPr>
                    <w:t xml:space="preserve">2026-08-16</w:t>
                  </w:r>
                </w:p>
              </w:tc>
            </w:tr>
            <w:tr>
              <w:trPr>
                <w:cantSplit/>
              </w:trPr>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الحالة</w:t>
                  </w:r>
                </w:p>
              </w:tc>
              <w:tc>
                <w:tcPr>
                  <w:tcW w:type="pct" w:w="60%"/>
                  <w:shd w:fill="FFFFFF" w:val="clear"/>
                  <w:tcMar>
                    <w:top w:type="dxa" w:w="60"/>
                    <w:left w:type="dxa" w:w="100"/>
                    <w:bottom w:type="dxa" w:w="60"/>
                    <w:right w:type="dxa" w:w="100"/>
                  </w:tcMar>
                </w:tcPr>
                <w:p>
                  <w:pPr>
                    <w:jc w:val="right"/>
                  </w:pPr>
                  <w:r>
                    <w:rPr>
                      <w:rFonts w:ascii="Cairo" w:eastAsia="Cairo"/>
                      <w:color w:val="1a1a2e"/>
                      <w:sz w:val="21"/>
                      <w:szCs w:val="21"/>
                    </w:rPr>
                    <w:t xml:space="preserve">قيد المراجعة - Under Review</w:t>
                  </w:r>
                </w:p>
              </w:tc>
            </w:tr>
            <w:tr>
              <w:trPr>
                <w:cantSplit/>
              </w:trPr>
              <w:tc>
                <w:tcPr>
                  <w:tcW w:type="pct" w:w="40%"/>
                  <w:shd w:fill="f8f9fa" w:val="clear"/>
                  <w:tcMar>
                    <w:top w:type="dxa" w:w="60"/>
                    <w:left w:type="dxa" w:w="100"/>
                    <w:bottom w:type="dxa" w:w="60"/>
                    <w:right w:type="dxa" w:w="100"/>
                  </w:tcMar>
                </w:tcPr>
                <w:p>
                  <w:pPr>
                    <w:jc w:val="right"/>
                  </w:pPr>
                  <w:r>
                    <w:rPr>
                      <w:rFonts w:ascii="Cairo" w:eastAsia="Cairo"/>
                      <w:color w:val="1a1a2e"/>
                      <w:sz w:val="21"/>
                      <w:szCs w:val="21"/>
                    </w:rPr>
                    <w:t xml:space="preserve">التصنيف</w:t>
                  </w:r>
                </w:p>
              </w:tc>
              <w:tc>
                <w:tcPr>
                  <w:tcW w:type="pct" w:w="60%"/>
                  <w:shd w:fill="f8f9fa" w:val="clear"/>
                  <w:tcMar>
                    <w:top w:type="dxa" w:w="60"/>
                    <w:left w:type="dxa" w:w="100"/>
                    <w:bottom w:type="dxa" w:w="60"/>
                    <w:right w:type="dxa" w:w="100"/>
                  </w:tcMar>
                </w:tcPr>
                <w:p>
                  <w:pPr>
                    <w:jc w:val="right"/>
                  </w:pPr>
                  <w:r>
                    <w:rPr>
                      <w:rFonts w:ascii="Cairo" w:eastAsia="Cairo"/>
                      <w:color w:val="1a1a2e"/>
                      <w:sz w:val="21"/>
                      <w:szCs w:val="21"/>
                    </w:rPr>
                    <w:t xml:space="preserve">سري - Confidential</w:t>
                  </w:r>
                </w:p>
              </w:tc>
            </w:tr>
          </w:tbl>
          <w:p>
            <w:pPr>
              <w:spacing w:after="300"/>
            </w:pPr>
          </w:p>
          <w:p>
            <w:pPr>
              <w:jc w:val="center"/>
            </w:pPr>
            <w:r>
              <w:rPr>
                <w:rFonts w:ascii="Cairo" w:eastAsia="Cairo"/>
                <w:color w:val="6c757d"/>
                <w:sz w:val="18"/>
                <w:szCs w:val="18"/>
              </w:rPr>
              <w:t xml:space="preserve">React.js | Electron.js | Node.js | SQLite | TailwindCSS</w:t>
            </w:r>
          </w:p>
        </w:tc>
      </w:tr>
      <w:tr>
        <w:trPr>
          <w:trHeight w:val="800" w:hRule="exact"/>
        </w:trPr>
        <w:tc>
          <w:tcPr>
            <w:shd w:fill="0a9396" w:val="clear"/>
            <w:vAlign w:val="center"/>
          </w:tcPr>
          <w:p>
            <w:pPr>
              <w:jc w:val="center"/>
            </w:pPr>
            <w:r>
              <w:rPr>
                <w:rFonts w:ascii="Cairo" w:eastAsia="Cairo"/>
                <w:color w:val="FFFFFF"/>
                <w:sz w:val="18"/>
                <w:szCs w:val="18"/>
              </w:rPr>
              <w:t xml:space="preserve">© 2026 Accounting Pro - All Rights Reserved</w:t>
            </w:r>
          </w:p>
        </w:tc>
      </w:tr>
    </w:tbl>
    <w:p>
      <w:pPr>
        <w:sectPr>
          <w:pgSz w:w="11906" w:h="16838" w:orient="portrait"/>
          <w:pgMar w:top="0" w:right="0" w:bottom="0" w:left="0" w:header="708" w:footer="708" w:gutter="0"/>
          <w:pgNumType/>
          <w:docGrid w:linePitch="360"/>
        </w:sectPr>
      </w:pPr>
    </w:p>
    <w:p>
      <w:pPr>
        <w:spacing w:after="300"/>
        <w:jc w:val="center"/>
      </w:pPr>
      <w:r>
        <w:rPr>
          <w:rFonts w:ascii="Cairo" w:eastAsia="Cairo"/>
          <w:b/>
          <w:bCs/>
          <w:color w:val="005f73"/>
          <w:sz w:val="36"/>
          <w:szCs w:val="36"/>
        </w:rPr>
        <w:t xml:space="preserve">جدول المحتويات</w:t>
      </w:r>
    </w:p>
    <w:sdt>
      <w:sdtPr>
        <w:alias w:val="[object Object]"/>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1. الملخص التنفيذي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نظرة عامة على المشروع</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الأهداف الاستراتيجية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المزايا التنافسية</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العائد المتوقع على الاستثمار (ROI)</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ملخص الجدول الزمني</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مقدمة المشروع ونظرة عامة (Project Introduction &amp; Overview)</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مشكلة السوق والحاجة</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الحل المقترح</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نطاق المشروع (Scope)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2.4 معايير النجاح</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2.5 تحليل أصحاب المصلحة</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3. الأهداف والمتطلبات (Objectives &amp; Requirements)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3.1 الأهداف الوظيفية (Functional Objectives)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3.1.1 أولوية عالية (Must Have)</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3.1.2 أولوية متوسطة (Should Have)</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3.1.3 أولوية منخفضة (Nice to Have)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3.2 الأهداف غير الوظيفية (Non-Functional Requirements)</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3.2.1 متطلبات الأداء</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3.2.2 متطلبات الأمان</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3.2.3 متطلبات قابلية الاستخدام</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3.3 القيود التقنية</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4. التقنيات والهندسة المعمارية (Tech Stack &amp; Architecture)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4.1 نظرة عامة على البنية التقنية</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4.2 الواجهة الأمامية (Frontend Stack)</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4.2.1 React.js مع Vite</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4.2.2 TailwindCSS للتنسيق</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4.3 الخلفية والطبقة الوسطى (Backend &amp; Middleware)</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4.3.1 Electron.js</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4.3.2 Express.js APIs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4.4 قاعدة البيانات (Database Layer)</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4.4.1 SQLite</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4.4.2 Sequelize ORM</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4.5 جدول المقارنة التقنية</w:t>
            </w:r>
            <w:r>
              <w:tab/>
            </w:r>
            <w:r>
              <w:fldChar w:fldCharType="begin"/>
            </w:r>
            <w:r>
              <w:instrText xml:space="preserve"> PAGEREF _Toc100033 \h </w:instrText>
            </w:r>
            <w:r>
              <w:fldChar w:fldCharType="separate"/>
            </w:r>
            <w:r>
              <w:t>10</w:t>
            </w:r>
            <w:r>
              <w:fldChar w:fldCharType="end"/>
            </w:r>
          </w:hyperlink>
        </w:p>
        <w:p>
          <w:pPr>
            <w:pStyle w:val="9"/>
            <w:tabs>
              <w:tab w:val="right" w:leader="dot" w:pos="9026"/>
            </w:tabs>
            <w:spacing w:before="120" w:after="60"/>
          </w:pPr>
          <w:hyperlink w:anchor="_Toc100034" w:history="1">
            <w:r>
              <w:rPr>
                <w:rStyle w:val="Hyperlink"/>
              </w:rPr>
              <w:t>5. هيكل قاعدة البيانات (Database Schema)</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5.1 نظرة عامة على التصميم</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5.2 جدول الإعدادات (settings)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5.3 جدول المستخدمين (users)</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5.4 جدول المخازن (warehouses)</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5.5 جدول التصنيفات (categories)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5.6 جدول الوحدات (units)</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5.7 جدول الأصناف (items)</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5.8 جدول الأطراف (parties)</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5.9 جدول الفواتير (invoices)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5.10 جدول تفاصيل الفواتير (invoice_items)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5.11 جدول حركات الخزينة (treasury_transactions)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5.12 مخطط العلاقات (ER Diagram Description)</w:t>
            </w:r>
            <w:r>
              <w:tab/>
            </w:r>
            <w:r>
              <w:fldChar w:fldCharType="begin"/>
            </w:r>
            <w:r>
              <w:instrText xml:space="preserve"> PAGEREF _Toc100046 \h </w:instrText>
            </w:r>
            <w:r>
              <w:fldChar w:fldCharType="separate"/>
            </w:r>
            <w:r>
              <w:t>13</w:t>
            </w:r>
            <w:r>
              <w:fldChar w:fldCharType="end"/>
            </w:r>
          </w:hyperlink>
        </w:p>
        <w:p>
          <w:pPr>
            <w:pStyle w:val="9"/>
            <w:tabs>
              <w:tab w:val="right" w:leader="dot" w:pos="9026"/>
            </w:tabs>
            <w:spacing w:before="120" w:after="60"/>
          </w:pPr>
          <w:hyperlink w:anchor="_Toc100047" w:history="1">
            <w:r>
              <w:rPr>
                <w:rStyle w:val="Hyperlink"/>
              </w:rPr>
              <w:t>6. هيكلة المشروع وهيكل الملفات (Project Structure)</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6.1 الهيكل العام للمجلدات</w:t>
            </w:r>
            <w:r>
              <w:tab/>
            </w:r>
            <w:r>
              <w:fldChar w:fldCharType="begin"/>
            </w:r>
            <w:r>
              <w:instrText xml:space="preserve"> PAGEREF _Toc100048 \h </w:instrText>
            </w:r>
            <w:r>
              <w:fldChar w:fldCharType="separate"/>
            </w:r>
            <w:r>
              <w:t>14</w:t>
            </w:r>
            <w:r>
              <w:fldChar w:fldCharType="end"/>
            </w:r>
          </w:hyperlink>
        </w:p>
        <w:p>
          <w:pPr>
            <w:pStyle w:val="11"/>
            <w:ind w:left="360"/>
            <w:tabs>
              <w:tab w:val="right" w:leader="dot" w:pos="9026"/>
            </w:tabs>
            <w:spacing w:before="120" w:after="60"/>
          </w:pPr>
          <w:hyperlink w:anchor="_Toc100049" w:history="1">
            <w:r>
              <w:rPr>
                <w:rStyle w:val="Hyperlink"/>
              </w:rPr>
              <w:t>6.2 وصف المجلدات الرئيسية</w:t>
            </w:r>
            <w:r>
              <w:tab/>
            </w:r>
            <w:r>
              <w:fldChar w:fldCharType="begin"/>
            </w:r>
            <w:r>
              <w:instrText xml:space="preserve"> PAGEREF _Toc100049 \h </w:instrText>
            </w:r>
            <w:r>
              <w:fldChar w:fldCharType="separate"/>
            </w:r>
            <w:r>
              <w:t>14</w:t>
            </w:r>
            <w:r>
              <w:fldChar w:fldCharType="end"/>
            </w:r>
          </w:hyperlink>
        </w:p>
        <w:p>
          <w:pPr>
            <w:pStyle w:val="12"/>
            <w:ind w:left="720"/>
            <w:tabs>
              <w:tab w:val="right" w:leader="dot" w:pos="9026"/>
            </w:tabs>
            <w:spacing w:before="120" w:after="60"/>
          </w:pPr>
          <w:hyperlink w:anchor="_Toc100050" w:history="1">
            <w:r>
              <w:rPr>
                <w:rStyle w:val="Hyperlink"/>
              </w:rPr>
              <w:t>electron/</w:t>
            </w:r>
            <w:r>
              <w:tab/>
            </w:r>
            <w:r>
              <w:fldChar w:fldCharType="begin"/>
            </w:r>
            <w:r>
              <w:instrText xml:space="preserve"> PAGEREF _Toc100050 \h </w:instrText>
            </w:r>
            <w:r>
              <w:fldChar w:fldCharType="separate"/>
            </w:r>
            <w:r>
              <w:t>14</w:t>
            </w:r>
            <w:r>
              <w:fldChar w:fldCharType="end"/>
            </w:r>
          </w:hyperlink>
        </w:p>
        <w:p>
          <w:pPr>
            <w:pStyle w:val="12"/>
            <w:ind w:left="720"/>
            <w:tabs>
              <w:tab w:val="right" w:leader="dot" w:pos="9026"/>
            </w:tabs>
            <w:spacing w:before="120" w:after="60"/>
          </w:pPr>
          <w:hyperlink w:anchor="_Toc100051" w:history="1">
            <w:r>
              <w:rPr>
                <w:rStyle w:val="Hyperlink"/>
              </w:rPr>
              <w:t>src/components/</w:t>
            </w:r>
            <w:r>
              <w:tab/>
            </w:r>
            <w:r>
              <w:fldChar w:fldCharType="begin"/>
            </w:r>
            <w:r>
              <w:instrText xml:space="preserve"> PAGEREF _Toc100051 \h </w:instrText>
            </w:r>
            <w:r>
              <w:fldChar w:fldCharType="separate"/>
            </w:r>
            <w:r>
              <w:t>15</w:t>
            </w:r>
            <w:r>
              <w:fldChar w:fldCharType="end"/>
            </w:r>
          </w:hyperlink>
        </w:p>
        <w:p>
          <w:pPr>
            <w:pStyle w:val="12"/>
            <w:ind w:left="720"/>
            <w:tabs>
              <w:tab w:val="right" w:leader="dot" w:pos="9026"/>
            </w:tabs>
            <w:spacing w:before="120" w:after="60"/>
          </w:pPr>
          <w:hyperlink w:anchor="_Toc100052" w:history="1">
            <w:r>
              <w:rPr>
                <w:rStyle w:val="Hyperlink"/>
              </w:rPr>
              <w:t>src/pages/</w:t>
            </w:r>
            <w:r>
              <w:tab/>
            </w:r>
            <w:r>
              <w:fldChar w:fldCharType="begin"/>
            </w:r>
            <w:r>
              <w:instrText xml:space="preserve"> PAGEREF _Toc100052 \h </w:instrText>
            </w:r>
            <w:r>
              <w:fldChar w:fldCharType="separate"/>
            </w:r>
            <w:r>
              <w:t>15</w:t>
            </w:r>
            <w:r>
              <w:fldChar w:fldCharType="end"/>
            </w:r>
          </w:hyperlink>
        </w:p>
        <w:p>
          <w:pPr>
            <w:pStyle w:val="12"/>
            <w:ind w:left="720"/>
            <w:tabs>
              <w:tab w:val="right" w:leader="dot" w:pos="9026"/>
            </w:tabs>
            <w:spacing w:before="120" w:after="60"/>
          </w:pPr>
          <w:hyperlink w:anchor="_Toc100053" w:history="1">
            <w:r>
              <w:rPr>
                <w:rStyle w:val="Hyperlink"/>
              </w:rPr>
              <w:t>src/store/</w:t>
            </w:r>
            <w:r>
              <w:tab/>
            </w:r>
            <w:r>
              <w:fldChar w:fldCharType="begin"/>
            </w:r>
            <w:r>
              <w:instrText xml:space="preserve"> PAGEREF _Toc100053 \h </w:instrText>
            </w:r>
            <w:r>
              <w:fldChar w:fldCharType="separate"/>
            </w:r>
            <w:r>
              <w:t>15</w:t>
            </w:r>
            <w:r>
              <w:fldChar w:fldCharType="end"/>
            </w:r>
          </w:hyperlink>
        </w:p>
        <w:p>
          <w:pPr>
            <w:pStyle w:val="12"/>
            <w:ind w:left="720"/>
            <w:tabs>
              <w:tab w:val="right" w:leader="dot" w:pos="9026"/>
            </w:tabs>
            <w:spacing w:before="120" w:after="60"/>
          </w:pPr>
          <w:hyperlink w:anchor="_Toc100054" w:history="1">
            <w:r>
              <w:rPr>
                <w:rStyle w:val="Hyperlink"/>
              </w:rPr>
              <w:t>src/services/</w:t>
            </w:r>
            <w:r>
              <w:tab/>
            </w:r>
            <w:r>
              <w:fldChar w:fldCharType="begin"/>
            </w:r>
            <w:r>
              <w:instrText xml:space="preserve"> PAGEREF _Toc100054 \h </w:instrText>
            </w:r>
            <w:r>
              <w:fldChar w:fldCharType="separate"/>
            </w:r>
            <w:r>
              <w:t>15</w:t>
            </w:r>
            <w:r>
              <w:fldChar w:fldCharType="end"/>
            </w:r>
          </w:hyperlink>
        </w:p>
        <w:p>
          <w:pPr>
            <w:pStyle w:val="11"/>
            <w:ind w:left="360"/>
            <w:tabs>
              <w:tab w:val="right" w:leader="dot" w:pos="9026"/>
            </w:tabs>
            <w:spacing w:before="120" w:after="60"/>
          </w:pPr>
          <w:hyperlink w:anchor="_Toc100055" w:history="1">
            <w:r>
              <w:rPr>
                <w:rStyle w:val="Hyperlink"/>
              </w:rPr>
              <w:t>6.3 تبعيات الوحدات (Module Dependencies)</w:t>
            </w:r>
            <w:r>
              <w:tab/>
            </w:r>
            <w:r>
              <w:fldChar w:fldCharType="begin"/>
            </w:r>
            <w:r>
              <w:instrText xml:space="preserve"> PAGEREF _Toc100055 \h </w:instrText>
            </w:r>
            <w:r>
              <w:fldChar w:fldCharType="separate"/>
            </w:r>
            <w:r>
              <w:t>16</w:t>
            </w:r>
            <w:r>
              <w:fldChar w:fldCharType="end"/>
            </w:r>
          </w:hyperlink>
        </w:p>
        <w:p>
          <w:pPr>
            <w:pStyle w:val="9"/>
            <w:tabs>
              <w:tab w:val="right" w:leader="dot" w:pos="9026"/>
            </w:tabs>
            <w:spacing w:before="120" w:after="60"/>
          </w:pPr>
          <w:hyperlink w:anchor="_Toc100056" w:history="1">
            <w:r>
              <w:rPr>
                <w:rStyle w:val="Hyperlink"/>
              </w:rPr>
              <w:t>7. تصميم واجهة المستخدم (UI/UX Design Specifications)</w:t>
            </w:r>
            <w:r>
              <w:tab/>
            </w:r>
            <w:r>
              <w:fldChar w:fldCharType="begin"/>
            </w:r>
            <w:r>
              <w:instrText xml:space="preserve"> PAGEREF _Toc100056 \h </w:instrText>
            </w:r>
            <w:r>
              <w:fldChar w:fldCharType="separate"/>
            </w:r>
            <w:r>
              <w:t>16</w:t>
            </w:r>
            <w:r>
              <w:fldChar w:fldCharType="end"/>
            </w:r>
          </w:hyperlink>
        </w:p>
        <w:p>
          <w:pPr>
            <w:pStyle w:val="11"/>
            <w:ind w:left="360"/>
            <w:tabs>
              <w:tab w:val="right" w:leader="dot" w:pos="9026"/>
            </w:tabs>
            <w:spacing w:before="120" w:after="60"/>
          </w:pPr>
          <w:hyperlink w:anchor="_Toc100057" w:history="1">
            <w:r>
              <w:rPr>
                <w:rStyle w:val="Hyperlink"/>
              </w:rPr>
              <w:t>7.1 مبادئ التصميم الأساسية</w:t>
            </w:r>
            <w:r>
              <w:tab/>
            </w:r>
            <w:r>
              <w:fldChar w:fldCharType="begin"/>
            </w:r>
            <w:r>
              <w:instrText xml:space="preserve"> PAGEREF _Toc100057 \h </w:instrText>
            </w:r>
            <w:r>
              <w:fldChar w:fldCharType="separate"/>
            </w:r>
            <w:r>
              <w:t>16</w:t>
            </w:r>
            <w:r>
              <w:fldChar w:fldCharType="end"/>
            </w:r>
          </w:hyperlink>
        </w:p>
        <w:p>
          <w:pPr>
            <w:pStyle w:val="11"/>
            <w:ind w:left="360"/>
            <w:tabs>
              <w:tab w:val="right" w:leader="dot" w:pos="9026"/>
            </w:tabs>
            <w:spacing w:before="120" w:after="60"/>
          </w:pPr>
          <w:hyperlink w:anchor="_Toc100058" w:history="1">
            <w:r>
              <w:rPr>
                <w:rStyle w:val="Hyperlink"/>
              </w:rPr>
              <w:t>7.2 نظام الألوان (Color System)</w:t>
            </w:r>
            <w:r>
              <w:tab/>
            </w:r>
            <w:r>
              <w:fldChar w:fldCharType="begin"/>
            </w:r>
            <w:r>
              <w:instrText xml:space="preserve"> PAGEREF _Toc100058 \h </w:instrText>
            </w:r>
            <w:r>
              <w:fldChar w:fldCharType="separate"/>
            </w:r>
            <w:r>
              <w:t>16</w:t>
            </w:r>
            <w:r>
              <w:fldChar w:fldCharType="end"/>
            </w:r>
          </w:hyperlink>
        </w:p>
        <w:p>
          <w:pPr>
            <w:pStyle w:val="11"/>
            <w:ind w:left="360"/>
            <w:tabs>
              <w:tab w:val="right" w:leader="dot" w:pos="9026"/>
            </w:tabs>
            <w:spacing w:before="120" w:after="60"/>
          </w:pPr>
          <w:hyperlink w:anchor="_Toc100059" w:history="1">
            <w:r>
              <w:rPr>
                <w:rStyle w:val="Hyperlink"/>
              </w:rPr>
              <w:t>7.3 نظام الخطوط (Typography)</w:t>
            </w:r>
            <w:r>
              <w:tab/>
            </w:r>
            <w:r>
              <w:fldChar w:fldCharType="begin"/>
            </w:r>
            <w:r>
              <w:instrText xml:space="preserve"> PAGEREF _Toc100059 \h </w:instrText>
            </w:r>
            <w:r>
              <w:fldChar w:fldCharType="separate"/>
            </w:r>
            <w:r>
              <w:t>16</w:t>
            </w:r>
            <w:r>
              <w:fldChar w:fldCharType="end"/>
            </w:r>
          </w:hyperlink>
        </w:p>
        <w:p>
          <w:pPr>
            <w:pStyle w:val="11"/>
            <w:ind w:left="360"/>
            <w:tabs>
              <w:tab w:val="right" w:leader="dot" w:pos="9026"/>
            </w:tabs>
            <w:spacing w:before="120" w:after="60"/>
          </w:pPr>
          <w:hyperlink w:anchor="_Toc100060" w:history="1">
            <w:r>
              <w:rPr>
                <w:rStyle w:val="Hyperlink"/>
              </w:rPr>
              <w:t>7.4 التخطيط العام (Main Layout)</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7.5 الشريط الجانبي (Sidebar Navigation)</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7.6 لوحة التحكم (Dashboard)</w:t>
            </w:r>
            <w:r>
              <w:tab/>
            </w:r>
            <w:r>
              <w:fldChar w:fldCharType="begin"/>
            </w:r>
            <w:r>
              <w:instrText xml:space="preserve"> PAGEREF _Toc100062 \h </w:instrText>
            </w:r>
            <w:r>
              <w:fldChar w:fldCharType="separate"/>
            </w:r>
            <w:r>
              <w:t>17</w:t>
            </w:r>
            <w:r>
              <w:fldChar w:fldCharType="end"/>
            </w:r>
          </w:hyperlink>
        </w:p>
        <w:p>
          <w:pPr>
            <w:pStyle w:val="11"/>
            <w:ind w:left="360"/>
            <w:tabs>
              <w:tab w:val="right" w:leader="dot" w:pos="9026"/>
            </w:tabs>
            <w:spacing w:before="120" w:after="60"/>
          </w:pPr>
          <w:hyperlink w:anchor="_Toc100063" w:history="1">
            <w:r>
              <w:rPr>
                <w:rStyle w:val="Hyperlink"/>
              </w:rPr>
              <w:t>7.7 نماذج الإدخال (Form Designs)</w:t>
            </w:r>
            <w:r>
              <w:tab/>
            </w:r>
            <w:r>
              <w:fldChar w:fldCharType="begin"/>
            </w:r>
            <w:r>
              <w:instrText xml:space="preserve"> PAGEREF _Toc100063 \h </w:instrText>
            </w:r>
            <w:r>
              <w:fldChar w:fldCharType="separate"/>
            </w:r>
            <w:r>
              <w:t>17</w:t>
            </w:r>
            <w:r>
              <w:fldChar w:fldCharType="end"/>
            </w:r>
          </w:hyperlink>
        </w:p>
        <w:p>
          <w:pPr>
            <w:pStyle w:val="9"/>
            <w:tabs>
              <w:tab w:val="right" w:leader="dot" w:pos="9026"/>
            </w:tabs>
            <w:spacing w:before="120" w:after="60"/>
          </w:pPr>
          <w:hyperlink w:anchor="_Toc100064" w:history="1">
            <w:r>
              <w:rPr>
                <w:rStyle w:val="Hyperlink"/>
              </w:rPr>
              <w:t>8. وصف الوحدات الوظيفية (Functional Modules Description)</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8.1 وحدة لوحة التحكم (Dashboard Module)</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8.2 وحدة المبيعات (Sales Module)</w:t>
            </w:r>
            <w:r>
              <w:tab/>
            </w:r>
            <w:r>
              <w:fldChar w:fldCharType="begin"/>
            </w:r>
            <w:r>
              <w:instrText xml:space="preserve"> PAGEREF _Toc100066 \h </w:instrText>
            </w:r>
            <w:r>
              <w:fldChar w:fldCharType="separate"/>
            </w:r>
            <w:r>
              <w:t>18</w:t>
            </w:r>
            <w:r>
              <w:fldChar w:fldCharType="end"/>
            </w:r>
          </w:hyperlink>
        </w:p>
        <w:p>
          <w:pPr>
            <w:pStyle w:val="12"/>
            <w:ind w:left="720"/>
            <w:tabs>
              <w:tab w:val="right" w:leader="dot" w:pos="9026"/>
            </w:tabs>
            <w:spacing w:before="120" w:after="60"/>
          </w:pPr>
          <w:hyperlink w:anchor="_Toc100067" w:history="1">
            <w:r>
              <w:rPr>
                <w:rStyle w:val="Hyperlink"/>
              </w:rPr>
              <w:t>8.2.1 قائمة الفواتير</w:t>
            </w:r>
            <w:r>
              <w:tab/>
            </w:r>
            <w:r>
              <w:fldChar w:fldCharType="begin"/>
            </w:r>
            <w:r>
              <w:instrText xml:space="preserve"> PAGEREF _Toc100067 \h </w:instrText>
            </w:r>
            <w:r>
              <w:fldChar w:fldCharType="separate"/>
            </w:r>
            <w:r>
              <w:t>18</w:t>
            </w:r>
            <w:r>
              <w:fldChar w:fldCharType="end"/>
            </w:r>
          </w:hyperlink>
        </w:p>
        <w:p>
          <w:pPr>
            <w:pStyle w:val="12"/>
            <w:ind w:left="720"/>
            <w:tabs>
              <w:tab w:val="right" w:leader="dot" w:pos="9026"/>
            </w:tabs>
            <w:spacing w:before="120" w:after="60"/>
          </w:pPr>
          <w:hyperlink w:anchor="_Toc100068" w:history="1">
            <w:r>
              <w:rPr>
                <w:rStyle w:val="Hyperlink"/>
              </w:rPr>
              <w:t>8.2.2 نموذج الفاتورة</w:t>
            </w:r>
            <w:r>
              <w:tab/>
            </w:r>
            <w:r>
              <w:fldChar w:fldCharType="begin"/>
            </w:r>
            <w:r>
              <w:instrText xml:space="preserve"> PAGEREF _Toc100068 \h </w:instrText>
            </w:r>
            <w:r>
              <w:fldChar w:fldCharType="separate"/>
            </w:r>
            <w:r>
              <w:t>18</w:t>
            </w:r>
            <w:r>
              <w:fldChar w:fldCharType="end"/>
            </w:r>
          </w:hyperlink>
        </w:p>
        <w:p>
          <w:pPr>
            <w:pStyle w:val="11"/>
            <w:ind w:left="360"/>
            <w:tabs>
              <w:tab w:val="right" w:leader="dot" w:pos="9026"/>
            </w:tabs>
            <w:spacing w:before="120" w:after="60"/>
          </w:pPr>
          <w:hyperlink w:anchor="_Toc100069" w:history="1">
            <w:r>
              <w:rPr>
                <w:rStyle w:val="Hyperlink"/>
              </w:rPr>
              <w:t>8.3 وحدة المشتريات (Purchases Module)</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8.4 وحدة المخزون (Inventory Module)</w:t>
            </w:r>
            <w:r>
              <w:tab/>
            </w:r>
            <w:r>
              <w:fldChar w:fldCharType="begin"/>
            </w:r>
            <w:r>
              <w:instrText xml:space="preserve"> PAGEREF _Toc100070 \h </w:instrText>
            </w:r>
            <w:r>
              <w:fldChar w:fldCharType="separate"/>
            </w:r>
            <w:r>
              <w:t>19</w:t>
            </w:r>
            <w:r>
              <w:fldChar w:fldCharType="end"/>
            </w:r>
          </w:hyperlink>
        </w:p>
        <w:p>
          <w:pPr>
            <w:pStyle w:val="12"/>
            <w:ind w:left="720"/>
            <w:tabs>
              <w:tab w:val="right" w:leader="dot" w:pos="9026"/>
            </w:tabs>
            <w:spacing w:before="120" w:after="60"/>
          </w:pPr>
          <w:hyperlink w:anchor="_Toc100071" w:history="1">
            <w:r>
              <w:rPr>
                <w:rStyle w:val="Hyperlink"/>
              </w:rPr>
              <w:t>8.4.1 إدارة الأصناف</w:t>
            </w:r>
            <w:r>
              <w:tab/>
            </w:r>
            <w:r>
              <w:fldChar w:fldCharType="begin"/>
            </w:r>
            <w:r>
              <w:instrText xml:space="preserve"> PAGEREF _Toc100071 \h </w:instrText>
            </w:r>
            <w:r>
              <w:fldChar w:fldCharType="separate"/>
            </w:r>
            <w:r>
              <w:t>19</w:t>
            </w:r>
            <w:r>
              <w:fldChar w:fldCharType="end"/>
            </w:r>
          </w:hyperlink>
        </w:p>
        <w:p>
          <w:pPr>
            <w:pStyle w:val="12"/>
            <w:ind w:left="720"/>
            <w:tabs>
              <w:tab w:val="right" w:leader="dot" w:pos="9026"/>
            </w:tabs>
            <w:spacing w:before="120" w:after="60"/>
          </w:pPr>
          <w:hyperlink w:anchor="_Toc100072" w:history="1">
            <w:r>
              <w:rPr>
                <w:rStyle w:val="Hyperlink"/>
              </w:rPr>
              <w:t>8.4.2 إدارة المخازن</w:t>
            </w:r>
            <w:r>
              <w:tab/>
            </w:r>
            <w:r>
              <w:fldChar w:fldCharType="begin"/>
            </w:r>
            <w:r>
              <w:instrText xml:space="preserve"> PAGEREF _Toc100072 \h </w:instrText>
            </w:r>
            <w:r>
              <w:fldChar w:fldCharType="separate"/>
            </w:r>
            <w:r>
              <w:t>19</w:t>
            </w:r>
            <w:r>
              <w:fldChar w:fldCharType="end"/>
            </w:r>
          </w:hyperlink>
        </w:p>
        <w:p>
          <w:pPr>
            <w:pStyle w:val="11"/>
            <w:ind w:left="360"/>
            <w:tabs>
              <w:tab w:val="right" w:leader="dot" w:pos="9026"/>
            </w:tabs>
            <w:spacing w:before="120" w:after="60"/>
          </w:pPr>
          <w:hyperlink w:anchor="_Toc100073" w:history="1">
            <w:r>
              <w:rPr>
                <w:rStyle w:val="Hyperlink"/>
              </w:rPr>
              <w:t>8.5 وحدة الأطراف (Parties Module)</w:t>
            </w:r>
            <w:r>
              <w:tab/>
            </w:r>
            <w:r>
              <w:fldChar w:fldCharType="begin"/>
            </w:r>
            <w:r>
              <w:instrText xml:space="preserve"> PAGEREF _Toc100073 \h </w:instrText>
            </w:r>
            <w:r>
              <w:fldChar w:fldCharType="separate"/>
            </w:r>
            <w:r>
              <w:t>20</w:t>
            </w:r>
            <w:r>
              <w:fldChar w:fldCharType="end"/>
            </w:r>
          </w:hyperlink>
        </w:p>
        <w:p>
          <w:pPr>
            <w:pStyle w:val="12"/>
            <w:ind w:left="720"/>
            <w:tabs>
              <w:tab w:val="right" w:leader="dot" w:pos="9026"/>
            </w:tabs>
            <w:spacing w:before="120" w:after="60"/>
          </w:pPr>
          <w:hyperlink w:anchor="_Toc100074" w:history="1">
            <w:r>
              <w:rPr>
                <w:rStyle w:val="Hyperlink"/>
              </w:rPr>
              <w:t>8.5.1 قائمة الأطراف</w:t>
            </w:r>
            <w:r>
              <w:tab/>
            </w:r>
            <w:r>
              <w:fldChar w:fldCharType="begin"/>
            </w:r>
            <w:r>
              <w:instrText xml:space="preserve"> PAGEREF _Toc100074 \h </w:instrText>
            </w:r>
            <w:r>
              <w:fldChar w:fldCharType="separate"/>
            </w:r>
            <w:r>
              <w:t>20</w:t>
            </w:r>
            <w:r>
              <w:fldChar w:fldCharType="end"/>
            </w:r>
          </w:hyperlink>
        </w:p>
        <w:p>
          <w:pPr>
            <w:pStyle w:val="12"/>
            <w:ind w:left="720"/>
            <w:tabs>
              <w:tab w:val="right" w:leader="dot" w:pos="9026"/>
            </w:tabs>
            <w:spacing w:before="120" w:after="60"/>
          </w:pPr>
          <w:hyperlink w:anchor="_Toc100075" w:history="1">
            <w:r>
              <w:rPr>
                <w:rStyle w:val="Hyperlink"/>
              </w:rPr>
              <w:t>8.5.2 كشف الحساب</w:t>
            </w:r>
            <w:r>
              <w:tab/>
            </w:r>
            <w:r>
              <w:fldChar w:fldCharType="begin"/>
            </w:r>
            <w:r>
              <w:instrText xml:space="preserve"> PAGEREF _Toc100075 \h </w:instrText>
            </w:r>
            <w:r>
              <w:fldChar w:fldCharType="separate"/>
            </w:r>
            <w:r>
              <w:t>20</w:t>
            </w:r>
            <w:r>
              <w:fldChar w:fldCharType="end"/>
            </w:r>
          </w:hyperlink>
        </w:p>
        <w:p>
          <w:pPr>
            <w:pStyle w:val="11"/>
            <w:ind w:left="360"/>
            <w:tabs>
              <w:tab w:val="right" w:leader="dot" w:pos="9026"/>
            </w:tabs>
            <w:spacing w:before="120" w:after="60"/>
          </w:pPr>
          <w:hyperlink w:anchor="_Toc100076" w:history="1">
            <w:r>
              <w:rPr>
                <w:rStyle w:val="Hyperlink"/>
              </w:rPr>
              <w:t>8.6 وحدة الخزينة (Treasury Module)</w:t>
            </w:r>
            <w:r>
              <w:tab/>
            </w:r>
            <w:r>
              <w:fldChar w:fldCharType="begin"/>
            </w:r>
            <w:r>
              <w:instrText xml:space="preserve"> PAGEREF _Toc100076 \h </w:instrText>
            </w:r>
            <w:r>
              <w:fldChar w:fldCharType="separate"/>
            </w:r>
            <w:r>
              <w:t>20</w:t>
            </w:r>
            <w:r>
              <w:fldChar w:fldCharType="end"/>
            </w:r>
          </w:hyperlink>
        </w:p>
        <w:p>
          <w:pPr>
            <w:pStyle w:val="11"/>
            <w:ind w:left="360"/>
            <w:tabs>
              <w:tab w:val="right" w:leader="dot" w:pos="9026"/>
            </w:tabs>
            <w:spacing w:before="120" w:after="60"/>
          </w:pPr>
          <w:hyperlink w:anchor="_Toc100077" w:history="1">
            <w:r>
              <w:rPr>
                <w:rStyle w:val="Hyperlink"/>
              </w:rPr>
              <w:t>8.7 وحدة التقارير (Reports Module)</w:t>
            </w:r>
            <w:r>
              <w:tab/>
            </w:r>
            <w:r>
              <w:fldChar w:fldCharType="begin"/>
            </w:r>
            <w:r>
              <w:instrText xml:space="preserve"> PAGEREF _Toc100077 \h </w:instrText>
            </w:r>
            <w:r>
              <w:fldChar w:fldCharType="separate"/>
            </w:r>
            <w:r>
              <w:t>20</w:t>
            </w:r>
            <w:r>
              <w:fldChar w:fldCharType="end"/>
            </w:r>
          </w:hyperlink>
        </w:p>
        <w:p>
          <w:pPr>
            <w:pStyle w:val="11"/>
            <w:ind w:left="360"/>
            <w:tabs>
              <w:tab w:val="right" w:leader="dot" w:pos="9026"/>
            </w:tabs>
            <w:spacing w:before="120" w:after="60"/>
          </w:pPr>
          <w:hyperlink w:anchor="_Toc100078" w:history="1">
            <w:r>
              <w:rPr>
                <w:rStyle w:val="Hyperlink"/>
              </w:rPr>
              <w:t>8.8 وحدة الإعدادات (Settings Module)</w:t>
            </w:r>
            <w:r>
              <w:tab/>
            </w:r>
            <w:r>
              <w:fldChar w:fldCharType="begin"/>
            </w:r>
            <w:r>
              <w:instrText xml:space="preserve"> PAGEREF _Toc100078 \h </w:instrText>
            </w:r>
            <w:r>
              <w:fldChar w:fldCharType="separate"/>
            </w:r>
            <w:r>
              <w:t>21</w:t>
            </w:r>
            <w:r>
              <w:fldChar w:fldCharType="end"/>
            </w:r>
          </w:hyperlink>
        </w:p>
        <w:p>
          <w:pPr>
            <w:pStyle w:val="9"/>
            <w:tabs>
              <w:tab w:val="right" w:leader="dot" w:pos="9026"/>
            </w:tabs>
            <w:spacing w:before="120" w:after="60"/>
          </w:pPr>
          <w:hyperlink w:anchor="_Toc100079" w:history="1">
            <w:r>
              <w:rPr>
                <w:rStyle w:val="Hyperlink"/>
              </w:rPr>
              <w:t>9. المنطق التجاري والحسابات (Business Logic &amp; Calculations)</w:t>
            </w:r>
            <w:r>
              <w:tab/>
            </w:r>
            <w:r>
              <w:fldChar w:fldCharType="begin"/>
            </w:r>
            <w:r>
              <w:instrText xml:space="preserve"> PAGEREF _Toc100079 \h </w:instrText>
            </w:r>
            <w:r>
              <w:fldChar w:fldCharType="separate"/>
            </w:r>
            <w:r>
              <w:t>21</w:t>
            </w:r>
            <w:r>
              <w:fldChar w:fldCharType="end"/>
            </w:r>
          </w:hyperlink>
        </w:p>
        <w:p>
          <w:pPr>
            <w:pStyle w:val="11"/>
            <w:ind w:left="360"/>
            <w:tabs>
              <w:tab w:val="right" w:leader="dot" w:pos="9026"/>
            </w:tabs>
            <w:spacing w:before="120" w:after="60"/>
          </w:pPr>
          <w:hyperlink w:anchor="_Toc100080" w:history="1">
            <w:r>
              <w:rPr>
                <w:rStyle w:val="Hyperlink"/>
              </w:rPr>
              <w:t>9.1 منطق السداد وأنواع الدفع</w:t>
            </w:r>
            <w:r>
              <w:tab/>
            </w:r>
            <w:r>
              <w:fldChar w:fldCharType="begin"/>
            </w:r>
            <w:r>
              <w:instrText xml:space="preserve"> PAGEREF _Toc100080 \h </w:instrText>
            </w:r>
            <w:r>
              <w:fldChar w:fldCharType="separate"/>
            </w:r>
            <w:r>
              <w:t>21</w:t>
            </w:r>
            <w:r>
              <w:fldChar w:fldCharType="end"/>
            </w:r>
          </w:hyperlink>
        </w:p>
        <w:p>
          <w:pPr>
            <w:pStyle w:val="12"/>
            <w:ind w:left="720"/>
            <w:tabs>
              <w:tab w:val="right" w:leader="dot" w:pos="9026"/>
            </w:tabs>
            <w:spacing w:before="120" w:after="60"/>
          </w:pPr>
          <w:hyperlink w:anchor="_Toc100081" w:history="1">
            <w:r>
              <w:rPr>
                <w:rStyle w:val="Hyperlink"/>
              </w:rPr>
              <w:t>9.1.1 الدفع النقدي (Cash Payment)</w:t>
            </w:r>
            <w:r>
              <w:tab/>
            </w:r>
            <w:r>
              <w:fldChar w:fldCharType="begin"/>
            </w:r>
            <w:r>
              <w:instrText xml:space="preserve"> PAGEREF _Toc100081 \h </w:instrText>
            </w:r>
            <w:r>
              <w:fldChar w:fldCharType="separate"/>
            </w:r>
            <w:r>
              <w:t>21</w:t>
            </w:r>
            <w:r>
              <w:fldChar w:fldCharType="end"/>
            </w:r>
          </w:hyperlink>
        </w:p>
        <w:p>
          <w:pPr>
            <w:pStyle w:val="12"/>
            <w:ind w:left="720"/>
            <w:tabs>
              <w:tab w:val="right" w:leader="dot" w:pos="9026"/>
            </w:tabs>
            <w:spacing w:before="120" w:after="60"/>
          </w:pPr>
          <w:hyperlink w:anchor="_Toc100082" w:history="1">
            <w:r>
              <w:rPr>
                <w:rStyle w:val="Hyperlink"/>
              </w:rPr>
              <w:t>9.1.2 الدفع الجزئي (Partial Payment)</w:t>
            </w:r>
            <w:r>
              <w:tab/>
            </w:r>
            <w:r>
              <w:fldChar w:fldCharType="begin"/>
            </w:r>
            <w:r>
              <w:instrText xml:space="preserve"> PAGEREF _Toc100082 \h </w:instrText>
            </w:r>
            <w:r>
              <w:fldChar w:fldCharType="separate"/>
            </w:r>
            <w:r>
              <w:t>22</w:t>
            </w:r>
            <w:r>
              <w:fldChar w:fldCharType="end"/>
            </w:r>
          </w:hyperlink>
        </w:p>
        <w:p>
          <w:pPr>
            <w:pStyle w:val="12"/>
            <w:ind w:left="720"/>
            <w:tabs>
              <w:tab w:val="right" w:leader="dot" w:pos="9026"/>
            </w:tabs>
            <w:spacing w:before="120" w:after="60"/>
          </w:pPr>
          <w:hyperlink w:anchor="_Toc100083" w:history="1">
            <w:r>
              <w:rPr>
                <w:rStyle w:val="Hyperlink"/>
              </w:rPr>
              <w:t>9.1.3 الدفع الآجل (Credit Payment)</w:t>
            </w:r>
            <w:r>
              <w:tab/>
            </w:r>
            <w:r>
              <w:fldChar w:fldCharType="begin"/>
            </w:r>
            <w:r>
              <w:instrText xml:space="preserve"> PAGEREF _Toc100083 \h </w:instrText>
            </w:r>
            <w:r>
              <w:fldChar w:fldCharType="separate"/>
            </w:r>
            <w:r>
              <w:t>22</w:t>
            </w:r>
            <w:r>
              <w:fldChar w:fldCharType="end"/>
            </w:r>
          </w:hyperlink>
        </w:p>
        <w:p>
          <w:pPr>
            <w:pStyle w:val="11"/>
            <w:ind w:left="360"/>
            <w:tabs>
              <w:tab w:val="right" w:leader="dot" w:pos="9026"/>
            </w:tabs>
            <w:spacing w:before="120" w:after="60"/>
          </w:pPr>
          <w:hyperlink w:anchor="_Toc100084" w:history="1">
            <w:r>
              <w:rPr>
                <w:rStyle w:val="Hyperlink"/>
              </w:rPr>
              <w:t>9.2 منطق المردودات (Returns Logic)</w:t>
            </w:r>
            <w:r>
              <w:tab/>
            </w:r>
            <w:r>
              <w:fldChar w:fldCharType="begin"/>
            </w:r>
            <w:r>
              <w:instrText xml:space="preserve"> PAGEREF _Toc100084 \h </w:instrText>
            </w:r>
            <w:r>
              <w:fldChar w:fldCharType="separate"/>
            </w:r>
            <w:r>
              <w:t>22</w:t>
            </w:r>
            <w:r>
              <w:fldChar w:fldCharType="end"/>
            </w:r>
          </w:hyperlink>
        </w:p>
        <w:p>
          <w:pPr>
            <w:pStyle w:val="11"/>
            <w:ind w:left="360"/>
            <w:tabs>
              <w:tab w:val="right" w:leader="dot" w:pos="9026"/>
            </w:tabs>
            <w:spacing w:before="120" w:after="60"/>
          </w:pPr>
          <w:hyperlink w:anchor="_Toc100085" w:history="1">
            <w:r>
              <w:rPr>
                <w:rStyle w:val="Hyperlink"/>
              </w:rPr>
              <w:t>9.3 تحديث المخزون (Inventory Updates)</w:t>
            </w:r>
            <w:r>
              <w:tab/>
            </w:r>
            <w:r>
              <w:fldChar w:fldCharType="begin"/>
            </w:r>
            <w:r>
              <w:instrText xml:space="preserve"> PAGEREF _Toc100085 \h </w:instrText>
            </w:r>
            <w:r>
              <w:fldChar w:fldCharType="separate"/>
            </w:r>
            <w:r>
              <w:t>22</w:t>
            </w:r>
            <w:r>
              <w:fldChar w:fldCharType="end"/>
            </w:r>
          </w:hyperlink>
        </w:p>
        <w:p>
          <w:pPr>
            <w:pStyle w:val="11"/>
            <w:ind w:left="360"/>
            <w:tabs>
              <w:tab w:val="right" w:leader="dot" w:pos="9026"/>
            </w:tabs>
            <w:spacing w:before="120" w:after="60"/>
          </w:pPr>
          <w:hyperlink w:anchor="_Toc100086" w:history="1">
            <w:r>
              <w:rPr>
                <w:rStyle w:val="Hyperlink"/>
              </w:rPr>
              <w:t>9.4 حسابات الضريبة والخصم</w:t>
            </w:r>
            <w:r>
              <w:tab/>
            </w:r>
            <w:r>
              <w:fldChar w:fldCharType="begin"/>
            </w:r>
            <w:r>
              <w:instrText xml:space="preserve"> PAGEREF _Toc100086 \h </w:instrText>
            </w:r>
            <w:r>
              <w:fldChar w:fldCharType="separate"/>
            </w:r>
            <w:r>
              <w:t>23</w:t>
            </w:r>
            <w:r>
              <w:fldChar w:fldCharType="end"/>
            </w:r>
          </w:hyperlink>
        </w:p>
        <w:p>
          <w:pPr>
            <w:pStyle w:val="12"/>
            <w:ind w:left="720"/>
            <w:tabs>
              <w:tab w:val="right" w:leader="dot" w:pos="9026"/>
            </w:tabs>
            <w:spacing w:before="120" w:after="60"/>
          </w:pPr>
          <w:hyperlink w:anchor="_Toc100087" w:history="1">
            <w:r>
              <w:rPr>
                <w:rStyle w:val="Hyperlink"/>
              </w:rPr>
              <w:t>9.4.1 الضريبة</w:t>
            </w:r>
            <w:r>
              <w:tab/>
            </w:r>
            <w:r>
              <w:fldChar w:fldCharType="begin"/>
            </w:r>
            <w:r>
              <w:instrText xml:space="preserve"> PAGEREF _Toc100087 \h </w:instrText>
            </w:r>
            <w:r>
              <w:fldChar w:fldCharType="separate"/>
            </w:r>
            <w:r>
              <w:t>23</w:t>
            </w:r>
            <w:r>
              <w:fldChar w:fldCharType="end"/>
            </w:r>
          </w:hyperlink>
        </w:p>
        <w:p>
          <w:pPr>
            <w:pStyle w:val="12"/>
            <w:ind w:left="720"/>
            <w:tabs>
              <w:tab w:val="right" w:leader="dot" w:pos="9026"/>
            </w:tabs>
            <w:spacing w:before="120" w:after="60"/>
          </w:pPr>
          <w:hyperlink w:anchor="_Toc100088" w:history="1">
            <w:r>
              <w:rPr>
                <w:rStyle w:val="Hyperlink"/>
              </w:rPr>
              <w:t>9.4.2 الخصم</w:t>
            </w:r>
            <w:r>
              <w:tab/>
            </w:r>
            <w:r>
              <w:fldChar w:fldCharType="begin"/>
            </w:r>
            <w:r>
              <w:instrText xml:space="preserve"> PAGEREF _Toc100088 \h </w:instrText>
            </w:r>
            <w:r>
              <w:fldChar w:fldCharType="separate"/>
            </w:r>
            <w:r>
              <w:t>23</w:t>
            </w:r>
            <w:r>
              <w:fldChar w:fldCharType="end"/>
            </w:r>
          </w:hyperlink>
        </w:p>
        <w:p>
          <w:pPr>
            <w:pStyle w:val="11"/>
            <w:ind w:left="360"/>
            <w:tabs>
              <w:tab w:val="right" w:leader="dot" w:pos="9026"/>
            </w:tabs>
            <w:spacing w:before="120" w:after="60"/>
          </w:pPr>
          <w:hyperlink w:anchor="_Toc100089" w:history="1">
            <w:r>
              <w:rPr>
                <w:rStyle w:val="Hyperlink"/>
              </w:rPr>
              <w:t>9.5 صيغ الحساب الرئيسية</w:t>
            </w:r>
            <w:r>
              <w:tab/>
            </w:r>
            <w:r>
              <w:fldChar w:fldCharType="begin"/>
            </w:r>
            <w:r>
              <w:instrText xml:space="preserve"> PAGEREF _Toc100089 \h </w:instrText>
            </w:r>
            <w:r>
              <w:fldChar w:fldCharType="separate"/>
            </w:r>
            <w:r>
              <w:t>23</w:t>
            </w:r>
            <w:r>
              <w:fldChar w:fldCharType="end"/>
            </w:r>
          </w:hyperlink>
        </w:p>
        <w:p>
          <w:pPr>
            <w:pStyle w:val="9"/>
            <w:tabs>
              <w:tab w:val="right" w:leader="dot" w:pos="9026"/>
            </w:tabs>
            <w:spacing w:before="120" w:after="60"/>
          </w:pPr>
          <w:hyperlink w:anchor="_Toc100090" w:history="1">
            <w:r>
              <w:rPr>
                <w:rStyle w:val="Hyperlink"/>
              </w:rPr>
              <w:t>10. خطة التنفيذ والجدول الزمني (Implementation Plan &amp; Timeline)</w:t>
            </w:r>
            <w:r>
              <w:tab/>
            </w:r>
            <w:r>
              <w:fldChar w:fldCharType="begin"/>
            </w:r>
            <w:r>
              <w:instrText xml:space="preserve"> PAGEREF _Toc100090 \h </w:instrText>
            </w:r>
            <w:r>
              <w:fldChar w:fldCharType="separate"/>
            </w:r>
            <w:r>
              <w:t>24</w:t>
            </w:r>
            <w:r>
              <w:fldChar w:fldCharType="end"/>
            </w:r>
          </w:hyperlink>
        </w:p>
        <w:p>
          <w:pPr>
            <w:pStyle w:val="11"/>
            <w:ind w:left="360"/>
            <w:tabs>
              <w:tab w:val="right" w:leader="dot" w:pos="9026"/>
            </w:tabs>
            <w:spacing w:before="120" w:after="60"/>
          </w:pPr>
          <w:hyperlink w:anchor="_Toc100091" w:history="1">
            <w:r>
              <w:rPr>
                <w:rStyle w:val="Hyperlink"/>
              </w:rPr>
              <w:t>10.1 نظرة عامة على المراحل</w:t>
            </w:r>
            <w:r>
              <w:tab/>
            </w:r>
            <w:r>
              <w:fldChar w:fldCharType="begin"/>
            </w:r>
            <w:r>
              <w:instrText xml:space="preserve"> PAGEREF _Toc100091 \h </w:instrText>
            </w:r>
            <w:r>
              <w:fldChar w:fldCharType="separate"/>
            </w:r>
            <w:r>
              <w:t>24</w:t>
            </w:r>
            <w:r>
              <w:fldChar w:fldCharType="end"/>
            </w:r>
          </w:hyperlink>
        </w:p>
        <w:p>
          <w:pPr>
            <w:pStyle w:val="11"/>
            <w:ind w:left="360"/>
            <w:tabs>
              <w:tab w:val="right" w:leader="dot" w:pos="9026"/>
            </w:tabs>
            <w:spacing w:before="120" w:after="60"/>
          </w:pPr>
          <w:hyperlink w:anchor="_Toc100092" w:history="1">
            <w:r>
              <w:rPr>
                <w:rStyle w:val="Hyperlink"/>
              </w:rPr>
              <w:t>10.2 المرحلة الأولى: البنية التحتية (Weeks 1-4)</w:t>
            </w:r>
            <w:r>
              <w:tab/>
            </w:r>
            <w:r>
              <w:fldChar w:fldCharType="begin"/>
            </w:r>
            <w:r>
              <w:instrText xml:space="preserve"> PAGEREF _Toc100092 \h </w:instrText>
            </w:r>
            <w:r>
              <w:fldChar w:fldCharType="separate"/>
            </w:r>
            <w:r>
              <w:t>24</w:t>
            </w:r>
            <w:r>
              <w:fldChar w:fldCharType="end"/>
            </w:r>
          </w:hyperlink>
        </w:p>
        <w:p>
          <w:pPr>
            <w:pStyle w:val="11"/>
            <w:ind w:left="360"/>
            <w:tabs>
              <w:tab w:val="right" w:leader="dot" w:pos="9026"/>
            </w:tabs>
            <w:spacing w:before="120" w:after="60"/>
          </w:pPr>
          <w:hyperlink w:anchor="_Toc100093" w:history="1">
            <w:r>
              <w:rPr>
                <w:rStyle w:val="Hyperlink"/>
              </w:rPr>
              <w:t>10.3 المرحلة الثانية: العمليات الأساسية (Weeks 5-9)</w:t>
            </w:r>
            <w:r>
              <w:tab/>
            </w:r>
            <w:r>
              <w:fldChar w:fldCharType="begin"/>
            </w:r>
            <w:r>
              <w:instrText xml:space="preserve"> PAGEREF _Toc100093 \h </w:instrText>
            </w:r>
            <w:r>
              <w:fldChar w:fldCharType="separate"/>
            </w:r>
            <w:r>
              <w:t>25</w:t>
            </w:r>
            <w:r>
              <w:fldChar w:fldCharType="end"/>
            </w:r>
          </w:hyperlink>
        </w:p>
        <w:p>
          <w:pPr>
            <w:pStyle w:val="11"/>
            <w:ind w:left="360"/>
            <w:tabs>
              <w:tab w:val="right" w:leader="dot" w:pos="9026"/>
            </w:tabs>
            <w:spacing w:before="120" w:after="60"/>
          </w:pPr>
          <w:hyperlink w:anchor="_Toc100094" w:history="1">
            <w:r>
              <w:rPr>
                <w:rStyle w:val="Hyperlink"/>
              </w:rPr>
              <w:t>10.4 المرحلة الثالثة: نظام الفواتير (Weeks 10-15)</w:t>
            </w:r>
            <w:r>
              <w:tab/>
            </w:r>
            <w:r>
              <w:fldChar w:fldCharType="begin"/>
            </w:r>
            <w:r>
              <w:instrText xml:space="preserve"> PAGEREF _Toc100094 \h </w:instrText>
            </w:r>
            <w:r>
              <w:fldChar w:fldCharType="separate"/>
            </w:r>
            <w:r>
              <w:t>25</w:t>
            </w:r>
            <w:r>
              <w:fldChar w:fldCharType="end"/>
            </w:r>
          </w:hyperlink>
        </w:p>
        <w:p>
          <w:pPr>
            <w:pStyle w:val="11"/>
            <w:ind w:left="360"/>
            <w:tabs>
              <w:tab w:val="right" w:leader="dot" w:pos="9026"/>
            </w:tabs>
            <w:spacing w:before="120" w:after="60"/>
          </w:pPr>
          <w:hyperlink w:anchor="_Toc100095" w:history="1">
            <w:r>
              <w:rPr>
                <w:rStyle w:val="Hyperlink"/>
              </w:rPr>
              <w:t>10.5 المرحلة الرابعة: المنطق المالي (Weeks 16-19)</w:t>
            </w:r>
            <w:r>
              <w:tab/>
            </w:r>
            <w:r>
              <w:fldChar w:fldCharType="begin"/>
            </w:r>
            <w:r>
              <w:instrText xml:space="preserve"> PAGEREF _Toc100095 \h </w:instrText>
            </w:r>
            <w:r>
              <w:fldChar w:fldCharType="separate"/>
            </w:r>
            <w:r>
              <w:t>25</w:t>
            </w:r>
            <w:r>
              <w:fldChar w:fldCharType="end"/>
            </w:r>
          </w:hyperlink>
        </w:p>
        <w:p>
          <w:pPr>
            <w:pStyle w:val="11"/>
            <w:ind w:left="360"/>
            <w:tabs>
              <w:tab w:val="right" w:leader="dot" w:pos="9026"/>
            </w:tabs>
            <w:spacing w:before="120" w:after="60"/>
          </w:pPr>
          <w:hyperlink w:anchor="_Toc100096" w:history="1">
            <w:r>
              <w:rPr>
                <w:rStyle w:val="Hyperlink"/>
              </w:rPr>
              <w:t>10.6 المرحلة الخامسة: التقارير (Weeks 20-22)</w:t>
            </w:r>
            <w:r>
              <w:tab/>
            </w:r>
            <w:r>
              <w:fldChar w:fldCharType="begin"/>
            </w:r>
            <w:r>
              <w:instrText xml:space="preserve"> PAGEREF _Toc100096 \h </w:instrText>
            </w:r>
            <w:r>
              <w:fldChar w:fldCharType="separate"/>
            </w:r>
            <w:r>
              <w:t>25</w:t>
            </w:r>
            <w:r>
              <w:fldChar w:fldCharType="end"/>
            </w:r>
          </w:hyperlink>
        </w:p>
        <w:p>
          <w:pPr>
            <w:pStyle w:val="11"/>
            <w:ind w:left="360"/>
            <w:tabs>
              <w:tab w:val="right" w:leader="dot" w:pos="9026"/>
            </w:tabs>
            <w:spacing w:before="120" w:after="60"/>
          </w:pPr>
          <w:hyperlink w:anchor="_Toc100097" w:history="1">
            <w:r>
              <w:rPr>
                <w:rStyle w:val="Hyperlink"/>
              </w:rPr>
              <w:t>10.7 المرحلة السادسة: الاختبار والإطلاق (Weeks 23-26)</w:t>
            </w:r>
            <w:r>
              <w:tab/>
            </w:r>
            <w:r>
              <w:fldChar w:fldCharType="begin"/>
            </w:r>
            <w:r>
              <w:instrText xml:space="preserve"> PAGEREF _Toc100097 \h </w:instrText>
            </w:r>
            <w:r>
              <w:fldChar w:fldCharType="separate"/>
            </w:r>
            <w:r>
              <w:t>26</w:t>
            </w:r>
            <w:r>
              <w:fldChar w:fldCharType="end"/>
            </w:r>
          </w:hyperlink>
        </w:p>
        <w:p>
          <w:pPr>
            <w:pStyle w:val="11"/>
            <w:ind w:left="360"/>
            <w:tabs>
              <w:tab w:val="right" w:leader="dot" w:pos="9026"/>
            </w:tabs>
            <w:spacing w:before="120" w:after="60"/>
          </w:pPr>
          <w:hyperlink w:anchor="_Toc100098" w:history="1">
            <w:r>
              <w:rPr>
                <w:rStyle w:val="Hyperlink"/>
              </w:rPr>
              <w:t>10.8 مخطط الجدول الزمني</w:t>
            </w:r>
            <w:r>
              <w:tab/>
            </w:r>
            <w:r>
              <w:fldChar w:fldCharType="begin"/>
            </w:r>
            <w:r>
              <w:instrText xml:space="preserve"> PAGEREF _Toc100098 \h </w:instrText>
            </w:r>
            <w:r>
              <w:fldChar w:fldCharType="separate"/>
            </w:r>
            <w:r>
              <w:t>26</w:t>
            </w:r>
            <w:r>
              <w:fldChar w:fldCharType="end"/>
            </w:r>
          </w:hyperlink>
        </w:p>
        <w:p>
          <w:pPr>
            <w:pStyle w:val="9"/>
            <w:tabs>
              <w:tab w:val="right" w:leader="dot" w:pos="9026"/>
            </w:tabs>
            <w:spacing w:before="120" w:after="60"/>
          </w:pPr>
          <w:hyperlink w:anchor="_Toc100099" w:history="1">
            <w:r>
              <w:rPr>
                <w:rStyle w:val="Hyperlink"/>
              </w:rPr>
              <w:t>11. إدارة المخاطر (Risk Management)</w:t>
            </w:r>
            <w:r>
              <w:tab/>
            </w:r>
            <w:r>
              <w:fldChar w:fldCharType="begin"/>
            </w:r>
            <w:r>
              <w:instrText xml:space="preserve"> PAGEREF _Toc100099 \h </w:instrText>
            </w:r>
            <w:r>
              <w:fldChar w:fldCharType="separate"/>
            </w:r>
            <w:r>
              <w:t>26</w:t>
            </w:r>
            <w:r>
              <w:fldChar w:fldCharType="end"/>
            </w:r>
          </w:hyperlink>
        </w:p>
        <w:p>
          <w:pPr>
            <w:pStyle w:val="11"/>
            <w:ind w:left="360"/>
            <w:tabs>
              <w:tab w:val="right" w:leader="dot" w:pos="9026"/>
            </w:tabs>
            <w:spacing w:before="120" w:after="60"/>
          </w:pPr>
          <w:hyperlink w:anchor="_Toc100100" w:history="1">
            <w:r>
              <w:rPr>
                <w:rStyle w:val="Hyperlink"/>
              </w:rPr>
              <w:t>11.1 منهجية إدارة المخاطر</w:t>
            </w:r>
            <w:r>
              <w:tab/>
            </w:r>
            <w:r>
              <w:fldChar w:fldCharType="begin"/>
            </w:r>
            <w:r>
              <w:instrText xml:space="preserve"> PAGEREF _Toc100100 \h </w:instrText>
            </w:r>
            <w:r>
              <w:fldChar w:fldCharType="separate"/>
            </w:r>
            <w:r>
              <w:t>26</w:t>
            </w:r>
            <w:r>
              <w:fldChar w:fldCharType="end"/>
            </w:r>
          </w:hyperlink>
        </w:p>
        <w:p>
          <w:pPr>
            <w:pStyle w:val="11"/>
            <w:ind w:left="360"/>
            <w:tabs>
              <w:tab w:val="right" w:leader="dot" w:pos="9026"/>
            </w:tabs>
            <w:spacing w:before="120" w:after="60"/>
          </w:pPr>
          <w:hyperlink w:anchor="_Toc100101" w:history="1">
            <w:r>
              <w:rPr>
                <w:rStyle w:val="Hyperlink"/>
              </w:rPr>
              <w:t>11.2 مصفوفة المخاطر (Risk Matrix)</w:t>
            </w:r>
            <w:r>
              <w:tab/>
            </w:r>
            <w:r>
              <w:fldChar w:fldCharType="begin"/>
            </w:r>
            <w:r>
              <w:instrText xml:space="preserve"> PAGEREF _Toc100101 \h </w:instrText>
            </w:r>
            <w:r>
              <w:fldChar w:fldCharType="separate"/>
            </w:r>
            <w:r>
              <w:t>26</w:t>
            </w:r>
            <w:r>
              <w:fldChar w:fldCharType="end"/>
            </w:r>
          </w:hyperlink>
        </w:p>
        <w:p>
          <w:pPr>
            <w:pStyle w:val="11"/>
            <w:ind w:left="360"/>
            <w:tabs>
              <w:tab w:val="right" w:leader="dot" w:pos="9026"/>
            </w:tabs>
            <w:spacing w:before="120" w:after="60"/>
          </w:pPr>
          <w:hyperlink w:anchor="_Toc100102" w:history="1">
            <w:r>
              <w:rPr>
                <w:rStyle w:val="Hyperlink"/>
              </w:rPr>
              <w:t>11.3 تفصيل المخاطر الحرجة</w:t>
            </w:r>
            <w:r>
              <w:tab/>
            </w:r>
            <w:r>
              <w:fldChar w:fldCharType="begin"/>
            </w:r>
            <w:r>
              <w:instrText xml:space="preserve"> PAGEREF _Toc100102 \h </w:instrText>
            </w:r>
            <w:r>
              <w:fldChar w:fldCharType="separate"/>
            </w:r>
            <w:r>
              <w:t>27</w:t>
            </w:r>
            <w:r>
              <w:fldChar w:fldCharType="end"/>
            </w:r>
          </w:hyperlink>
        </w:p>
        <w:p>
          <w:pPr>
            <w:pStyle w:val="12"/>
            <w:ind w:left="720"/>
            <w:tabs>
              <w:tab w:val="right" w:leader="dot" w:pos="9026"/>
            </w:tabs>
            <w:spacing w:before="120" w:after="60"/>
          </w:pPr>
          <w:hyperlink w:anchor="_Toc100103" w:history="1">
            <w:r>
              <w:rPr>
                <w:rStyle w:val="Hyperlink"/>
              </w:rPr>
              <w:t>11.3.1 تأخر الجدول الزمني</w:t>
            </w:r>
            <w:r>
              <w:tab/>
            </w:r>
            <w:r>
              <w:fldChar w:fldCharType="begin"/>
            </w:r>
            <w:r>
              <w:instrText xml:space="preserve"> PAGEREF _Toc100103 \h </w:instrText>
            </w:r>
            <w:r>
              <w:fldChar w:fldCharType="separate"/>
            </w:r>
            <w:r>
              <w:t>27</w:t>
            </w:r>
            <w:r>
              <w:fldChar w:fldCharType="end"/>
            </w:r>
          </w:hyperlink>
        </w:p>
        <w:p>
          <w:pPr>
            <w:pStyle w:val="12"/>
            <w:ind w:left="720"/>
            <w:tabs>
              <w:tab w:val="right" w:leader="dot" w:pos="9026"/>
            </w:tabs>
            <w:spacing w:before="120" w:after="60"/>
          </w:pPr>
          <w:hyperlink w:anchor="_Toc100104" w:history="1">
            <w:r>
              <w:rPr>
                <w:rStyle w:val="Hyperlink"/>
              </w:rPr>
              <w:t>11.3.2 المنافسة القوية</w:t>
            </w:r>
            <w:r>
              <w:tab/>
            </w:r>
            <w:r>
              <w:fldChar w:fldCharType="begin"/>
            </w:r>
            <w:r>
              <w:instrText xml:space="preserve"> PAGEREF _Toc100104 \h </w:instrText>
            </w:r>
            <w:r>
              <w:fldChar w:fldCharType="separate"/>
            </w:r>
            <w:r>
              <w:t>27</w:t>
            </w:r>
            <w:r>
              <w:fldChar w:fldCharType="end"/>
            </w:r>
          </w:hyperlink>
        </w:p>
        <w:p>
          <w:pPr>
            <w:pStyle w:val="12"/>
            <w:ind w:left="720"/>
            <w:tabs>
              <w:tab w:val="right" w:leader="dot" w:pos="9026"/>
            </w:tabs>
            <w:spacing w:before="120" w:after="60"/>
          </w:pPr>
          <w:hyperlink w:anchor="_Toc100105" w:history="1">
            <w:r>
              <w:rPr>
                <w:rStyle w:val="Hyperlink"/>
              </w:rPr>
              <w:t>11.3.3 فقدان البيانات</w:t>
            </w:r>
            <w:r>
              <w:tab/>
            </w:r>
            <w:r>
              <w:fldChar w:fldCharType="begin"/>
            </w:r>
            <w:r>
              <w:instrText xml:space="preserve"> PAGEREF _Toc100105 \h </w:instrText>
            </w:r>
            <w:r>
              <w:fldChar w:fldCharType="separate"/>
            </w:r>
            <w:r>
              <w:t>27</w:t>
            </w:r>
            <w:r>
              <w:fldChar w:fldCharType="end"/>
            </w:r>
          </w:hyperlink>
        </w:p>
        <w:p>
          <w:pPr>
            <w:pStyle w:val="11"/>
            <w:ind w:left="360"/>
            <w:tabs>
              <w:tab w:val="right" w:leader="dot" w:pos="9026"/>
            </w:tabs>
            <w:spacing w:before="120" w:after="60"/>
          </w:pPr>
          <w:hyperlink w:anchor="_Toc100106" w:history="1">
            <w:r>
              <w:rPr>
                <w:rStyle w:val="Hyperlink"/>
              </w:rPr>
              <w:t>11.4 خطة الطوارئ (Contingency Plan)</w:t>
            </w:r>
            <w:r>
              <w:tab/>
            </w:r>
            <w:r>
              <w:fldChar w:fldCharType="begin"/>
            </w:r>
            <w:r>
              <w:instrText xml:space="preserve"> PAGEREF _Toc100106 \h </w:instrText>
            </w:r>
            <w:r>
              <w:fldChar w:fldCharType="separate"/>
            </w:r>
            <w:r>
              <w:t>27</w:t>
            </w:r>
            <w:r>
              <w:fldChar w:fldCharType="end"/>
            </w:r>
          </w:hyperlink>
        </w:p>
        <w:p>
          <w:pPr>
            <w:pStyle w:val="9"/>
            <w:tabs>
              <w:tab w:val="right" w:leader="dot" w:pos="9026"/>
            </w:tabs>
            <w:spacing w:before="120" w:after="60"/>
          </w:pPr>
          <w:hyperlink w:anchor="_Toc100107" w:history="1">
            <w:r>
              <w:rPr>
                <w:rStyle w:val="Hyperlink"/>
              </w:rPr>
              <w:t>12. الميزانية والتكاليف التقديرية (Budget &amp; Cost Estimates)</w:t>
            </w:r>
            <w:r>
              <w:tab/>
            </w:r>
            <w:r>
              <w:fldChar w:fldCharType="begin"/>
            </w:r>
            <w:r>
              <w:instrText xml:space="preserve"> PAGEREF _Toc100107 \h </w:instrText>
            </w:r>
            <w:r>
              <w:fldChar w:fldCharType="separate"/>
            </w:r>
            <w:r>
              <w:t>28</w:t>
            </w:r>
            <w:r>
              <w:fldChar w:fldCharType="end"/>
            </w:r>
          </w:hyperlink>
        </w:p>
        <w:p>
          <w:pPr>
            <w:pStyle w:val="11"/>
            <w:ind w:left="360"/>
            <w:tabs>
              <w:tab w:val="right" w:leader="dot" w:pos="9026"/>
            </w:tabs>
            <w:spacing w:before="120" w:after="60"/>
          </w:pPr>
          <w:hyperlink w:anchor="_Toc100108" w:history="1">
            <w:r>
              <w:rPr>
                <w:rStyle w:val="Hyperlink"/>
              </w:rPr>
              <w:t>12.1 افتراضات التكلفة</w:t>
            </w:r>
            <w:r>
              <w:tab/>
            </w:r>
            <w:r>
              <w:fldChar w:fldCharType="begin"/>
            </w:r>
            <w:r>
              <w:instrText xml:space="preserve"> PAGEREF _Toc100108 \h </w:instrText>
            </w:r>
            <w:r>
              <w:fldChar w:fldCharType="separate"/>
            </w:r>
            <w:r>
              <w:t>28</w:t>
            </w:r>
            <w:r>
              <w:fldChar w:fldCharType="end"/>
            </w:r>
          </w:hyperlink>
        </w:p>
        <w:p>
          <w:pPr>
            <w:pStyle w:val="11"/>
            <w:ind w:left="360"/>
            <w:tabs>
              <w:tab w:val="right" w:leader="dot" w:pos="9026"/>
            </w:tabs>
            <w:spacing w:before="120" w:after="60"/>
          </w:pPr>
          <w:hyperlink w:anchor="_Toc100109" w:history="1">
            <w:r>
              <w:rPr>
                <w:rStyle w:val="Hyperlink"/>
              </w:rPr>
              <w:t>12.2 تكاليف التطوير (Development Costs)</w:t>
            </w:r>
            <w:r>
              <w:tab/>
            </w:r>
            <w:r>
              <w:fldChar w:fldCharType="begin"/>
            </w:r>
            <w:r>
              <w:instrText xml:space="preserve"> PAGEREF _Toc100109 \h </w:instrText>
            </w:r>
            <w:r>
              <w:fldChar w:fldCharType="separate"/>
            </w:r>
            <w:r>
              <w:t>28</w:t>
            </w:r>
            <w:r>
              <w:fldChar w:fldCharType="end"/>
            </w:r>
          </w:hyperlink>
        </w:p>
        <w:p>
          <w:pPr>
            <w:pStyle w:val="11"/>
            <w:ind w:left="360"/>
            <w:tabs>
              <w:tab w:val="right" w:leader="dot" w:pos="9026"/>
            </w:tabs>
            <w:spacing w:before="120" w:after="60"/>
          </w:pPr>
          <w:hyperlink w:anchor="_Toc100110" w:history="1">
            <w:r>
              <w:rPr>
                <w:rStyle w:val="Hyperlink"/>
              </w:rPr>
              <w:t>12.3 التكاليف التشغيلية (Operational Costs)</w:t>
            </w:r>
            <w:r>
              <w:tab/>
            </w:r>
            <w:r>
              <w:fldChar w:fldCharType="begin"/>
            </w:r>
            <w:r>
              <w:instrText xml:space="preserve"> PAGEREF _Toc100110 \h </w:instrText>
            </w:r>
            <w:r>
              <w:fldChar w:fldCharType="separate"/>
            </w:r>
            <w:r>
              <w:t>28</w:t>
            </w:r>
            <w:r>
              <w:fldChar w:fldCharType="end"/>
            </w:r>
          </w:hyperlink>
        </w:p>
        <w:p>
          <w:pPr>
            <w:pStyle w:val="11"/>
            <w:ind w:left="360"/>
            <w:tabs>
              <w:tab w:val="right" w:leader="dot" w:pos="9026"/>
            </w:tabs>
            <w:spacing w:before="120" w:after="60"/>
          </w:pPr>
          <w:hyperlink w:anchor="_Toc100111" w:history="1">
            <w:r>
              <w:rPr>
                <w:rStyle w:val="Hyperlink"/>
              </w:rPr>
              <w:t>12.4 الميزانية الإجمالية (Total Budget)</w:t>
            </w:r>
            <w:r>
              <w:tab/>
            </w:r>
            <w:r>
              <w:fldChar w:fldCharType="begin"/>
            </w:r>
            <w:r>
              <w:instrText xml:space="preserve"> PAGEREF _Toc100111 \h </w:instrText>
            </w:r>
            <w:r>
              <w:fldChar w:fldCharType="separate"/>
            </w:r>
            <w:r>
              <w:t>28</w:t>
            </w:r>
            <w:r>
              <w:fldChar w:fldCharType="end"/>
            </w:r>
          </w:hyperlink>
        </w:p>
        <w:p>
          <w:pPr>
            <w:pStyle w:val="11"/>
            <w:ind w:left="360"/>
            <w:tabs>
              <w:tab w:val="right" w:leader="dot" w:pos="9026"/>
            </w:tabs>
            <w:spacing w:before="120" w:after="60"/>
          </w:pPr>
          <w:hyperlink w:anchor="_Toc100112" w:history="1">
            <w:r>
              <w:rPr>
                <w:rStyle w:val="Hyperlink"/>
              </w:rPr>
              <w:t>12.5 projections مالية (Financial Projections)</w:t>
            </w:r>
            <w:r>
              <w:tab/>
            </w:r>
            <w:r>
              <w:fldChar w:fldCharType="begin"/>
            </w:r>
            <w:r>
              <w:instrText xml:space="preserve"> PAGEREF _Toc100112 \h </w:instrText>
            </w:r>
            <w:r>
              <w:fldChar w:fldCharType="separate"/>
            </w:r>
            <w:r>
              <w:t>28</w:t>
            </w:r>
            <w:r>
              <w:fldChar w:fldCharType="end"/>
            </w:r>
          </w:hyperlink>
        </w:p>
        <w:p>
          <w:pPr>
            <w:pStyle w:val="9"/>
            <w:tabs>
              <w:tab w:val="right" w:leader="dot" w:pos="9026"/>
            </w:tabs>
            <w:spacing w:before="120" w:after="60"/>
          </w:pPr>
          <w:hyperlink w:anchor="_Toc100113" w:history="1">
            <w:r>
              <w:rPr>
                <w:rStyle w:val="Hyperlink"/>
              </w:rPr>
              <w:t>13. خطة الإصدار والنشر (Build &amp; Deployment Plan)</w:t>
            </w:r>
            <w:r>
              <w:tab/>
            </w:r>
            <w:r>
              <w:fldChar w:fldCharType="begin"/>
            </w:r>
            <w:r>
              <w:instrText xml:space="preserve"> PAGEREF _Toc100113 \h </w:instrText>
            </w:r>
            <w:r>
              <w:fldChar w:fldCharType="separate"/>
            </w:r>
            <w:r>
              <w:t>29</w:t>
            </w:r>
            <w:r>
              <w:fldChar w:fldCharType="end"/>
            </w:r>
          </w:hyperlink>
        </w:p>
        <w:p>
          <w:pPr>
            <w:pStyle w:val="11"/>
            <w:ind w:left="360"/>
            <w:tabs>
              <w:tab w:val="right" w:leader="dot" w:pos="9026"/>
            </w:tabs>
            <w:spacing w:before="120" w:after="60"/>
          </w:pPr>
          <w:hyperlink w:anchor="_Toc100114" w:history="1">
            <w:r>
              <w:rPr>
                <w:rStyle w:val="Hyperlink"/>
              </w:rPr>
              <w:t>13.1 إعداد Electron Builder</w:t>
            </w:r>
            <w:r>
              <w:tab/>
            </w:r>
            <w:r>
              <w:fldChar w:fldCharType="begin"/>
            </w:r>
            <w:r>
              <w:instrText xml:space="preserve"> PAGEREF _Toc100114 \h </w:instrText>
            </w:r>
            <w:r>
              <w:fldChar w:fldCharType="separate"/>
            </w:r>
            <w:r>
              <w:t>29</w:t>
            </w:r>
            <w:r>
              <w:fldChar w:fldCharType="end"/>
            </w:r>
          </w:hyperlink>
        </w:p>
        <w:p>
          <w:pPr>
            <w:pStyle w:val="11"/>
            <w:ind w:left="360"/>
            <w:tabs>
              <w:tab w:val="right" w:leader="dot" w:pos="9026"/>
            </w:tabs>
            <w:spacing w:before="120" w:after="60"/>
          </w:pPr>
          <w:hyperlink w:anchor="_Toc100115" w:history="1">
            <w:r>
              <w:rPr>
                <w:rStyle w:val="Hyperlink"/>
              </w:rPr>
              <w:t>13.2 أنواع المخرجات (Output Targets)</w:t>
            </w:r>
            <w:r>
              <w:tab/>
            </w:r>
            <w:r>
              <w:fldChar w:fldCharType="begin"/>
            </w:r>
            <w:r>
              <w:instrText xml:space="preserve"> PAGEREF _Toc100115 \h </w:instrText>
            </w:r>
            <w:r>
              <w:fldChar w:fldCharType="separate"/>
            </w:r>
            <w:r>
              <w:t>29</w:t>
            </w:r>
            <w:r>
              <w:fldChar w:fldCharType="end"/>
            </w:r>
          </w:hyperlink>
        </w:p>
        <w:p>
          <w:pPr>
            <w:pStyle w:val="11"/>
            <w:ind w:left="360"/>
            <w:tabs>
              <w:tab w:val="right" w:leader="dot" w:pos="9026"/>
            </w:tabs>
            <w:spacing w:before="120" w:after="60"/>
          </w:pPr>
          <w:hyperlink w:anchor="_Toc100116" w:history="1">
            <w:r>
              <w:rPr>
                <w:rStyle w:val="Hyperlink"/>
              </w:rPr>
              <w:t>13.3 استراتيجية قاعدة البيانات</w:t>
            </w:r>
            <w:r>
              <w:tab/>
            </w:r>
            <w:r>
              <w:fldChar w:fldCharType="begin"/>
            </w:r>
            <w:r>
              <w:instrText xml:space="preserve"> PAGEREF _Toc100116 \h </w:instrText>
            </w:r>
            <w:r>
              <w:fldChar w:fldCharType="separate"/>
            </w:r>
            <w:r>
              <w:t>29</w:t>
            </w:r>
            <w:r>
              <w:fldChar w:fldCharType="end"/>
            </w:r>
          </w:hyperlink>
        </w:p>
        <w:p>
          <w:pPr>
            <w:pStyle w:val="11"/>
            <w:ind w:left="360"/>
            <w:tabs>
              <w:tab w:val="right" w:leader="dot" w:pos="9026"/>
            </w:tabs>
            <w:spacing w:before="120" w:after="60"/>
          </w:pPr>
          <w:hyperlink w:anchor="_Toc100117" w:history="1">
            <w:r>
              <w:rPr>
                <w:rStyle w:val="Hyperlink"/>
              </w:rPr>
              <w:t>13.4 نظام التحديثات (Auto-Update)</w:t>
            </w:r>
            <w:r>
              <w:tab/>
            </w:r>
            <w:r>
              <w:fldChar w:fldCharType="begin"/>
            </w:r>
            <w:r>
              <w:instrText xml:space="preserve"> PAGEREF _Toc100117 \h </w:instrText>
            </w:r>
            <w:r>
              <w:fldChar w:fldCharType="separate"/>
            </w:r>
            <w:r>
              <w:t>29</w:t>
            </w:r>
            <w:r>
              <w:fldChar w:fldCharType="end"/>
            </w:r>
          </w:hyperlink>
        </w:p>
        <w:p>
          <w:pPr>
            <w:pStyle w:val="11"/>
            <w:ind w:left="360"/>
            <w:tabs>
              <w:tab w:val="right" w:leader="dot" w:pos="9026"/>
            </w:tabs>
            <w:spacing w:before="120" w:after="60"/>
          </w:pPr>
          <w:hyperlink w:anchor="_Toc100118" w:history="1">
            <w:r>
              <w:rPr>
                <w:rStyle w:val="Hyperlink"/>
              </w:rPr>
              <w:t>13.5 عملية البناء (Build Process)</w:t>
            </w:r>
            <w:r>
              <w:tab/>
            </w:r>
            <w:r>
              <w:fldChar w:fldCharType="begin"/>
            </w:r>
            <w:r>
              <w:instrText xml:space="preserve"> PAGEREF _Toc100118 \h </w:instrText>
            </w:r>
            <w:r>
              <w:fldChar w:fldCharType="separate"/>
            </w:r>
            <w:r>
              <w:t>30</w:t>
            </w:r>
            <w:r>
              <w:fldChar w:fldCharType="end"/>
            </w:r>
          </w:hyperlink>
        </w:p>
        <w:p>
          <w:pPr>
            <w:pStyle w:val="11"/>
            <w:ind w:left="360"/>
            <w:tabs>
              <w:tab w:val="right" w:leader="dot" w:pos="9026"/>
            </w:tabs>
            <w:spacing w:before="120" w:after="60"/>
          </w:pPr>
          <w:hyperlink w:anchor="_Toc100119" w:history="1">
            <w:r>
              <w:rPr>
                <w:rStyle w:val="Hyperlink"/>
              </w:rPr>
              <w:t>13.6 التوقيع الرقمي (Code Signing)</w:t>
            </w:r>
            <w:r>
              <w:tab/>
            </w:r>
            <w:r>
              <w:fldChar w:fldCharType="begin"/>
            </w:r>
            <w:r>
              <w:instrText xml:space="preserve"> PAGEREF _Toc100119 \h </w:instrText>
            </w:r>
            <w:r>
              <w:fldChar w:fldCharType="separate"/>
            </w:r>
            <w:r>
              <w:t>30</w:t>
            </w:r>
            <w:r>
              <w:fldChar w:fldCharType="end"/>
            </w:r>
          </w:hyperlink>
        </w:p>
        <w:p>
          <w:pPr>
            <w:pStyle w:val="9"/>
            <w:tabs>
              <w:tab w:val="right" w:leader="dot" w:pos="9026"/>
            </w:tabs>
            <w:spacing w:before="120" w:after="60"/>
          </w:pPr>
          <w:hyperlink w:anchor="_Toc100120" w:history="1">
            <w:r>
              <w:rPr>
                <w:rStyle w:val="Hyperlink"/>
              </w:rPr>
              <w:t>14. ضمان الجودة والاختبار (Quality Assurance &amp; Testing)</w:t>
            </w:r>
            <w:r>
              <w:tab/>
            </w:r>
            <w:r>
              <w:fldChar w:fldCharType="begin"/>
            </w:r>
            <w:r>
              <w:instrText xml:space="preserve"> PAGEREF _Toc100120 \h </w:instrText>
            </w:r>
            <w:r>
              <w:fldChar w:fldCharType="separate"/>
            </w:r>
            <w:r>
              <w:t>30</w:t>
            </w:r>
            <w:r>
              <w:fldChar w:fldCharType="end"/>
            </w:r>
          </w:hyperlink>
        </w:p>
        <w:p>
          <w:pPr>
            <w:pStyle w:val="11"/>
            <w:ind w:left="360"/>
            <w:tabs>
              <w:tab w:val="right" w:leader="dot" w:pos="9026"/>
            </w:tabs>
            <w:spacing w:before="120" w:after="60"/>
          </w:pPr>
          <w:hyperlink w:anchor="_Toc100121" w:history="1">
            <w:r>
              <w:rPr>
                <w:rStyle w:val="Hyperlink"/>
              </w:rPr>
              <w:t>14.1 استراتيجية الاختبار الشاملة</w:t>
            </w:r>
            <w:r>
              <w:tab/>
            </w:r>
            <w:r>
              <w:fldChar w:fldCharType="begin"/>
            </w:r>
            <w:r>
              <w:instrText xml:space="preserve"> PAGEREF _Toc100121 \h </w:instrText>
            </w:r>
            <w:r>
              <w:fldChar w:fldCharType="separate"/>
            </w:r>
            <w:r>
              <w:t>30</w:t>
            </w:r>
            <w:r>
              <w:fldChar w:fldCharType="end"/>
            </w:r>
          </w:hyperlink>
        </w:p>
        <w:p>
          <w:pPr>
            <w:pStyle w:val="11"/>
            <w:ind w:left="360"/>
            <w:tabs>
              <w:tab w:val="right" w:leader="dot" w:pos="9026"/>
            </w:tabs>
            <w:spacing w:before="120" w:after="60"/>
          </w:pPr>
          <w:hyperlink w:anchor="_Toc100122" w:history="1">
            <w:r>
              <w:rPr>
                <w:rStyle w:val="Hyperlink"/>
              </w:rPr>
              <w:t>14.2 Unit Testing (اختبارات الوحدة)</w:t>
            </w:r>
            <w:r>
              <w:tab/>
            </w:r>
            <w:r>
              <w:fldChar w:fldCharType="begin"/>
            </w:r>
            <w:r>
              <w:instrText xml:space="preserve"> PAGEREF _Toc100122 \h </w:instrText>
            </w:r>
            <w:r>
              <w:fldChar w:fldCharType="separate"/>
            </w:r>
            <w:r>
              <w:t>31</w:t>
            </w:r>
            <w:r>
              <w:fldChar w:fldCharType="end"/>
            </w:r>
          </w:hyperlink>
        </w:p>
        <w:p>
          <w:pPr>
            <w:pStyle w:val="11"/>
            <w:ind w:left="360"/>
            <w:tabs>
              <w:tab w:val="right" w:leader="dot" w:pos="9026"/>
            </w:tabs>
            <w:spacing w:before="120" w:after="60"/>
          </w:pPr>
          <w:hyperlink w:anchor="_Toc100123" w:history="1">
            <w:r>
              <w:rPr>
                <w:rStyle w:val="Hyperlink"/>
              </w:rPr>
              <w:t>14.3 Integration Testing (اختبارات التكامل)</w:t>
            </w:r>
            <w:r>
              <w:tab/>
            </w:r>
            <w:r>
              <w:fldChar w:fldCharType="begin"/>
            </w:r>
            <w:r>
              <w:instrText xml:space="preserve"> PAGEREF _Toc100123 \h </w:instrText>
            </w:r>
            <w:r>
              <w:fldChar w:fldCharType="separate"/>
            </w:r>
            <w:r>
              <w:t>31</w:t>
            </w:r>
            <w:r>
              <w:fldChar w:fldCharType="end"/>
            </w:r>
          </w:hyperlink>
        </w:p>
        <w:p>
          <w:pPr>
            <w:pStyle w:val="11"/>
            <w:ind w:left="360"/>
            <w:tabs>
              <w:tab w:val="right" w:leader="dot" w:pos="9026"/>
            </w:tabs>
            <w:spacing w:before="120" w:after="60"/>
          </w:pPr>
          <w:hyperlink w:anchor="_Toc100124" w:history="1">
            <w:r>
              <w:rPr>
                <w:rStyle w:val="Hyperlink"/>
              </w:rPr>
              <w:t>14.4 E2E Testing (اختبارات نهاية إلى نهاية)</w:t>
            </w:r>
            <w:r>
              <w:tab/>
            </w:r>
            <w:r>
              <w:fldChar w:fldCharType="begin"/>
            </w:r>
            <w:r>
              <w:instrText xml:space="preserve"> PAGEREF _Toc100124 \h </w:instrText>
            </w:r>
            <w:r>
              <w:fldChar w:fldCharType="separate"/>
            </w:r>
            <w:r>
              <w:t>31</w:t>
            </w:r>
            <w:r>
              <w:fldChar w:fldCharType="end"/>
            </w:r>
          </w:hyperlink>
        </w:p>
        <w:p>
          <w:pPr>
            <w:pStyle w:val="11"/>
            <w:ind w:left="360"/>
            <w:tabs>
              <w:tab w:val="right" w:leader="dot" w:pos="9026"/>
            </w:tabs>
            <w:spacing w:before="120" w:after="60"/>
          </w:pPr>
          <w:hyperlink w:anchor="_Toc100125" w:history="1">
            <w:r>
              <w:rPr>
                <w:rStyle w:val="Hyperlink"/>
              </w:rPr>
              <w:t>14.5 اختبارات خاصة (Specialized Testing)</w:t>
            </w:r>
            <w:r>
              <w:tab/>
            </w:r>
            <w:r>
              <w:fldChar w:fldCharType="begin"/>
            </w:r>
            <w:r>
              <w:instrText xml:space="preserve"> PAGEREF _Toc100125 \h </w:instrText>
            </w:r>
            <w:r>
              <w:fldChar w:fldCharType="separate"/>
            </w:r>
            <w:r>
              <w:t>31</w:t>
            </w:r>
            <w:r>
              <w:fldChar w:fldCharType="end"/>
            </w:r>
          </w:hyperlink>
        </w:p>
        <w:p>
          <w:pPr>
            <w:pStyle w:val="12"/>
            <w:ind w:left="720"/>
            <w:tabs>
              <w:tab w:val="right" w:leader="dot" w:pos="9026"/>
            </w:tabs>
            <w:spacing w:before="120" w:after="60"/>
          </w:pPr>
          <w:hyperlink w:anchor="_Toc100126" w:history="1">
            <w:r>
              <w:rPr>
                <w:rStyle w:val="Hyperlink"/>
              </w:rPr>
              <w:t>14.5.1 اختبار RTL</w:t>
            </w:r>
            <w:r>
              <w:tab/>
            </w:r>
            <w:r>
              <w:fldChar w:fldCharType="begin"/>
            </w:r>
            <w:r>
              <w:instrText xml:space="preserve"> PAGEREF _Toc100126 \h </w:instrText>
            </w:r>
            <w:r>
              <w:fldChar w:fldCharType="separate"/>
            </w:r>
            <w:r>
              <w:t>31</w:t>
            </w:r>
            <w:r>
              <w:fldChar w:fldCharType="end"/>
            </w:r>
          </w:hyperlink>
        </w:p>
        <w:p>
          <w:pPr>
            <w:pStyle w:val="12"/>
            <w:ind w:left="720"/>
            <w:tabs>
              <w:tab w:val="right" w:leader="dot" w:pos="9026"/>
            </w:tabs>
            <w:spacing w:before="120" w:after="60"/>
          </w:pPr>
          <w:hyperlink w:anchor="_Toc100127" w:history="1">
            <w:r>
              <w:rPr>
                <w:rStyle w:val="Hyperlink"/>
              </w:rPr>
              <w:t>14.5.2 اختبار الإدخال العربي</w:t>
            </w:r>
            <w:r>
              <w:tab/>
            </w:r>
            <w:r>
              <w:fldChar w:fldCharType="begin"/>
            </w:r>
            <w:r>
              <w:instrText xml:space="preserve"> PAGEREF _Toc100127 \h </w:instrText>
            </w:r>
            <w:r>
              <w:fldChar w:fldCharType="separate"/>
            </w:r>
            <w:r>
              <w:t>32</w:t>
            </w:r>
            <w:r>
              <w:fldChar w:fldCharType="end"/>
            </w:r>
          </w:hyperlink>
        </w:p>
        <w:p>
          <w:pPr>
            <w:pStyle w:val="12"/>
            <w:ind w:left="720"/>
            <w:tabs>
              <w:tab w:val="right" w:leader="dot" w:pos="9026"/>
            </w:tabs>
            <w:spacing w:before="120" w:after="60"/>
          </w:pPr>
          <w:hyperlink w:anchor="_Toc100128" w:history="1">
            <w:r>
              <w:rPr>
                <w:rStyle w:val="Hyperlink"/>
              </w:rPr>
              <w:t>14.5.3 اختبار الأداء</w:t>
            </w:r>
            <w:r>
              <w:tab/>
            </w:r>
            <w:r>
              <w:fldChar w:fldCharType="begin"/>
            </w:r>
            <w:r>
              <w:instrText xml:space="preserve"> PAGEREF _Toc100128 \h </w:instrText>
            </w:r>
            <w:r>
              <w:fldChar w:fldCharType="separate"/>
            </w:r>
            <w:r>
              <w:t>32</w:t>
            </w:r>
            <w:r>
              <w:fldChar w:fldCharType="end"/>
            </w:r>
          </w:hyperlink>
        </w:p>
        <w:p>
          <w:pPr>
            <w:pStyle w:val="11"/>
            <w:ind w:left="360"/>
            <w:tabs>
              <w:tab w:val="right" w:leader="dot" w:pos="9026"/>
            </w:tabs>
            <w:spacing w:before="120" w:after="60"/>
          </w:pPr>
          <w:hyperlink w:anchor="_Toc100129" w:history="1">
            <w:r>
              <w:rPr>
                <w:rStyle w:val="Hyperlink"/>
              </w:rPr>
              <w:t>14.6 قائمة تحقق الجودة (QA Checklist)</w:t>
            </w:r>
            <w:r>
              <w:tab/>
            </w:r>
            <w:r>
              <w:fldChar w:fldCharType="begin"/>
            </w:r>
            <w:r>
              <w:instrText xml:space="preserve"> PAGEREF _Toc100129 \h </w:instrText>
            </w:r>
            <w:r>
              <w:fldChar w:fldCharType="separate"/>
            </w:r>
            <w:r>
              <w:t>32</w:t>
            </w:r>
            <w:r>
              <w:fldChar w:fldCharType="end"/>
            </w:r>
          </w:hyperlink>
        </w:p>
        <w:p>
          <w:pPr>
            <w:pStyle w:val="9"/>
            <w:tabs>
              <w:tab w:val="right" w:leader="dot" w:pos="9026"/>
            </w:tabs>
            <w:spacing w:before="120" w:after="60"/>
          </w:pPr>
          <w:hyperlink w:anchor="_Toc100130" w:history="1">
            <w:r>
              <w:rPr>
                <w:rStyle w:val="Hyperlink"/>
              </w:rPr>
              <w:t>15. الصيانة والدعم المستقبلي (Maintenance &amp; Support Plan)</w:t>
            </w:r>
            <w:r>
              <w:tab/>
            </w:r>
            <w:r>
              <w:fldChar w:fldCharType="begin"/>
            </w:r>
            <w:r>
              <w:instrText xml:space="preserve"> PAGEREF _Toc100130 \h </w:instrText>
            </w:r>
            <w:r>
              <w:fldChar w:fldCharType="separate"/>
            </w:r>
            <w:r>
              <w:t>32</w:t>
            </w:r>
            <w:r>
              <w:fldChar w:fldCharType="end"/>
            </w:r>
          </w:hyperlink>
        </w:p>
        <w:p>
          <w:pPr>
            <w:pStyle w:val="11"/>
            <w:ind w:left="360"/>
            <w:tabs>
              <w:tab w:val="right" w:leader="dot" w:pos="9026"/>
            </w:tabs>
            <w:spacing w:before="120" w:after="60"/>
          </w:pPr>
          <w:hyperlink w:anchor="_Toc100131" w:history="1">
            <w:r>
              <w:rPr>
                <w:rStyle w:val="Hyperlink"/>
              </w:rPr>
              <w:t>15.1 خطة الدعم بعد الإطلاق</w:t>
            </w:r>
            <w:r>
              <w:tab/>
            </w:r>
            <w:r>
              <w:fldChar w:fldCharType="begin"/>
            </w:r>
            <w:r>
              <w:instrText xml:space="preserve"> PAGEREF _Toc100131 \h </w:instrText>
            </w:r>
            <w:r>
              <w:fldChar w:fldCharType="separate"/>
            </w:r>
            <w:r>
              <w:t>33</w:t>
            </w:r>
            <w:r>
              <w:fldChar w:fldCharType="end"/>
            </w:r>
          </w:hyperlink>
        </w:p>
        <w:p>
          <w:pPr>
            <w:pStyle w:val="11"/>
            <w:ind w:left="360"/>
            <w:tabs>
              <w:tab w:val="right" w:leader="dot" w:pos="9026"/>
            </w:tabs>
            <w:spacing w:before="120" w:after="60"/>
          </w:pPr>
          <w:hyperlink w:anchor="_Toc100132" w:history="1">
            <w:r>
              <w:rPr>
                <w:rStyle w:val="Hyperlink"/>
              </w:rPr>
              <w:t>15.2 SLA مستويات الخدمة</w:t>
            </w:r>
            <w:r>
              <w:tab/>
            </w:r>
            <w:r>
              <w:fldChar w:fldCharType="begin"/>
            </w:r>
            <w:r>
              <w:instrText xml:space="preserve"> PAGEREF _Toc100132 \h </w:instrText>
            </w:r>
            <w:r>
              <w:fldChar w:fldCharType="separate"/>
            </w:r>
            <w:r>
              <w:t>33</w:t>
            </w:r>
            <w:r>
              <w:fldChar w:fldCharType="end"/>
            </w:r>
          </w:hyperlink>
        </w:p>
        <w:p>
          <w:pPr>
            <w:pStyle w:val="11"/>
            <w:ind w:left="360"/>
            <w:tabs>
              <w:tab w:val="right" w:leader="dot" w:pos="9026"/>
            </w:tabs>
            <w:spacing w:before="120" w:after="60"/>
          </w:pPr>
          <w:hyperlink w:anchor="_Toc100133" w:history="1">
            <w:r>
              <w:rPr>
                <w:rStyle w:val="Hyperlink"/>
              </w:rPr>
              <w:t>15.3 جدول التحديثات (Release Schedule)</w:t>
            </w:r>
            <w:r>
              <w:tab/>
            </w:r>
            <w:r>
              <w:fldChar w:fldCharType="begin"/>
            </w:r>
            <w:r>
              <w:instrText xml:space="preserve"> PAGEREF _Toc100133 \h </w:instrText>
            </w:r>
            <w:r>
              <w:fldChar w:fldCharType="separate"/>
            </w:r>
            <w:r>
              <w:t>33</w:t>
            </w:r>
            <w:r>
              <w:fldChar w:fldCharType="end"/>
            </w:r>
          </w:hyperlink>
        </w:p>
        <w:p>
          <w:pPr>
            <w:pStyle w:val="11"/>
            <w:ind w:left="360"/>
            <w:tabs>
              <w:tab w:val="right" w:leader="dot" w:pos="9026"/>
            </w:tabs>
            <w:spacing w:before="120" w:after="60"/>
          </w:pPr>
          <w:hyperlink w:anchor="_Toc100134" w:history="1">
            <w:r>
              <w:rPr>
                <w:rStyle w:val="Hyperlink"/>
              </w:rPr>
              <w:t>15.4 أتمتة النسخ الاحتياطي</w:t>
            </w:r>
            <w:r>
              <w:tab/>
            </w:r>
            <w:r>
              <w:fldChar w:fldCharType="begin"/>
            </w:r>
            <w:r>
              <w:instrText xml:space="preserve"> PAGEREF _Toc100134 \h </w:instrText>
            </w:r>
            <w:r>
              <w:fldChar w:fldCharType="separate"/>
            </w:r>
            <w:r>
              <w:t>33</w:t>
            </w:r>
            <w:r>
              <w:fldChar w:fldCharType="end"/>
            </w:r>
          </w:hyperlink>
        </w:p>
        <w:p>
          <w:pPr>
            <w:pStyle w:val="11"/>
            <w:ind w:left="360"/>
            <w:tabs>
              <w:tab w:val="right" w:leader="dot" w:pos="9026"/>
            </w:tabs>
            <w:spacing w:before="120" w:after="60"/>
          </w:pPr>
          <w:hyperlink w:anchor="_Toc100135" w:history="1">
            <w:r>
              <w:rPr>
                <w:rStyle w:val="Hyperlink"/>
              </w:rPr>
              <w:t>15.5 خارطة الطريق المستقبلية (Roadmap)</w:t>
            </w:r>
            <w:r>
              <w:tab/>
            </w:r>
            <w:r>
              <w:fldChar w:fldCharType="begin"/>
            </w:r>
            <w:r>
              <w:instrText xml:space="preserve"> PAGEREF _Toc100135 \h </w:instrText>
            </w:r>
            <w:r>
              <w:fldChar w:fldCharType="separate"/>
            </w:r>
            <w:r>
              <w:t>33</w:t>
            </w:r>
            <w:r>
              <w:fldChar w:fldCharType="end"/>
            </w:r>
          </w:hyperlink>
        </w:p>
        <w:p>
          <w:pPr>
            <w:pStyle w:val="11"/>
            <w:ind w:left="360"/>
            <w:tabs>
              <w:tab w:val="right" w:leader="dot" w:pos="9026"/>
            </w:tabs>
            <w:spacing w:before="120" w:after="60"/>
          </w:pPr>
          <w:hyperlink w:anchor="_Toc100136" w:history="1">
            <w:r>
              <w:rPr>
                <w:rStyle w:val="Hyperlink"/>
              </w:rPr>
              <w:t>15.6 جمع التغذية الراجعة (Feedback Collection)</w:t>
            </w:r>
            <w:r>
              <w:tab/>
            </w:r>
            <w:r>
              <w:fldChar w:fldCharType="begin"/>
            </w:r>
            <w:r>
              <w:instrText xml:space="preserve"> PAGEREF _Toc100136 \h </w:instrText>
            </w:r>
            <w:r>
              <w:fldChar w:fldCharType="separate"/>
            </w:r>
            <w:r>
              <w:t>34</w:t>
            </w:r>
            <w:r>
              <w:fldChar w:fldCharType="end"/>
            </w:r>
          </w:hyperlink>
        </w:p>
        <w:p>
          <w:pPr>
            <w:pStyle w:val="9"/>
            <w:tabs>
              <w:tab w:val="right" w:leader="dot" w:pos="9026"/>
            </w:tabs>
            <w:spacing w:before="120" w:after="60"/>
          </w:pPr>
          <w:hyperlink w:anchor="_Toc100137" w:history="1">
            <w:r>
              <w:rPr>
                <w:rStyle w:val="Hyperlink"/>
              </w:rPr>
              <w:t>16. الخلاصة والتوصيات (Conclusion &amp; Recommendations)</w:t>
            </w:r>
            <w:r>
              <w:tab/>
            </w:r>
            <w:r>
              <w:fldChar w:fldCharType="begin"/>
            </w:r>
            <w:r>
              <w:instrText xml:space="preserve"> PAGEREF _Toc100137 \h </w:instrText>
            </w:r>
            <w:r>
              <w:fldChar w:fldCharType="separate"/>
            </w:r>
            <w:r>
              <w:t>34</w:t>
            </w:r>
            <w:r>
              <w:fldChar w:fldCharType="end"/>
            </w:r>
          </w:hyperlink>
        </w:p>
        <w:p>
          <w:pPr>
            <w:pStyle w:val="11"/>
            <w:ind w:left="360"/>
            <w:tabs>
              <w:tab w:val="right" w:leader="dot" w:pos="9026"/>
            </w:tabs>
            <w:spacing w:before="120" w:after="60"/>
          </w:pPr>
          <w:hyperlink w:anchor="_Toc100138" w:history="1">
            <w:r>
              <w:rPr>
                <w:rStyle w:val="Hyperlink"/>
              </w:rPr>
              <w:t>16.1 ملخص المشروع</w:t>
            </w:r>
            <w:r>
              <w:tab/>
            </w:r>
            <w:r>
              <w:fldChar w:fldCharType="begin"/>
            </w:r>
            <w:r>
              <w:instrText xml:space="preserve"> PAGEREF _Toc100138 \h </w:instrText>
            </w:r>
            <w:r>
              <w:fldChar w:fldCharType="separate"/>
            </w:r>
            <w:r>
              <w:t>34</w:t>
            </w:r>
            <w:r>
              <w:fldChar w:fldCharType="end"/>
            </w:r>
          </w:hyperlink>
        </w:p>
        <w:p>
          <w:pPr>
            <w:pStyle w:val="11"/>
            <w:ind w:left="360"/>
            <w:tabs>
              <w:tab w:val="right" w:leader="dot" w:pos="9026"/>
            </w:tabs>
            <w:spacing w:before="120" w:after="60"/>
          </w:pPr>
          <w:hyperlink w:anchor="_Toc100139" w:history="1">
            <w:r>
              <w:rPr>
                <w:rStyle w:val="Hyperlink"/>
              </w:rPr>
              <w:t>16.2 نقاط القوة الرئيسية</w:t>
            </w:r>
            <w:r>
              <w:tab/>
            </w:r>
            <w:r>
              <w:fldChar w:fldCharType="begin"/>
            </w:r>
            <w:r>
              <w:instrText xml:space="preserve"> PAGEREF _Toc100139 \h </w:instrText>
            </w:r>
            <w:r>
              <w:fldChar w:fldCharType="separate"/>
            </w:r>
            <w:r>
              <w:t>34</w:t>
            </w:r>
            <w:r>
              <w:fldChar w:fldCharType="end"/>
            </w:r>
          </w:hyperlink>
        </w:p>
        <w:p>
          <w:pPr>
            <w:pStyle w:val="11"/>
            <w:ind w:left="360"/>
            <w:tabs>
              <w:tab w:val="right" w:leader="dot" w:pos="9026"/>
            </w:tabs>
            <w:spacing w:before="120" w:after="60"/>
          </w:pPr>
          <w:hyperlink w:anchor="_Toc100140" w:history="1">
            <w:r>
              <w:rPr>
                <w:rStyle w:val="Hyperlink"/>
              </w:rPr>
              <w:t>16.3 التحديات المتوقعة</w:t>
            </w:r>
            <w:r>
              <w:tab/>
            </w:r>
            <w:r>
              <w:fldChar w:fldCharType="begin"/>
            </w:r>
            <w:r>
              <w:instrText xml:space="preserve"> PAGEREF _Toc100140 \h </w:instrText>
            </w:r>
            <w:r>
              <w:fldChar w:fldCharType="separate"/>
            </w:r>
            <w:r>
              <w:t>35</w:t>
            </w:r>
            <w:r>
              <w:fldChar w:fldCharType="end"/>
            </w:r>
          </w:hyperlink>
        </w:p>
        <w:p>
          <w:pPr>
            <w:pStyle w:val="11"/>
            <w:ind w:left="360"/>
            <w:tabs>
              <w:tab w:val="right" w:leader="dot" w:pos="9026"/>
            </w:tabs>
            <w:spacing w:before="120" w:after="60"/>
          </w:pPr>
          <w:hyperlink w:anchor="_Toc100141" w:history="1">
            <w:r>
              <w:rPr>
                <w:rStyle w:val="Hyperlink"/>
              </w:rPr>
              <w:t>16.4 التوصية (Recommendation)</w:t>
            </w:r>
            <w:r>
              <w:tab/>
            </w:r>
            <w:r>
              <w:fldChar w:fldCharType="begin"/>
            </w:r>
            <w:r>
              <w:instrText xml:space="preserve"> PAGEREF _Toc100141 \h </w:instrText>
            </w:r>
            <w:r>
              <w:fldChar w:fldCharType="separate"/>
            </w:r>
            <w:r>
              <w:t>36</w:t>
            </w:r>
            <w:r>
              <w:fldChar w:fldCharType="end"/>
            </w:r>
          </w:hyperlink>
        </w:p>
        <w:p>
          <w:pPr>
            <w:pStyle w:val="11"/>
            <w:ind w:left="360"/>
            <w:tabs>
              <w:tab w:val="right" w:leader="dot" w:pos="9026"/>
            </w:tabs>
            <w:spacing w:before="120" w:after="60"/>
          </w:pPr>
          <w:hyperlink w:anchor="_Toc100142" w:history="1">
            <w:r>
              <w:rPr>
                <w:rStyle w:val="Hyperlink"/>
              </w:rPr>
              <w:t>16.5 عوامل النجاح الحرجة (Critical Success Factors)</w:t>
            </w:r>
            <w:r>
              <w:tab/>
            </w:r>
            <w:r>
              <w:fldChar w:fldCharType="begin"/>
            </w:r>
            <w:r>
              <w:instrText xml:space="preserve"> PAGEREF _Toc100142 \h </w:instrText>
            </w:r>
            <w:r>
              <w:fldChar w:fldCharType="separate"/>
            </w:r>
            <w:r>
              <w:t>36</w:t>
            </w:r>
            <w:r>
              <w:fldChar w:fldCharType="end"/>
            </w:r>
          </w:hyperlink>
        </w:p>
        <w:p>
          <w:pPr>
            <w:pStyle w:val="11"/>
            <w:ind w:left="360"/>
            <w:tabs>
              <w:tab w:val="right" w:leader="dot" w:pos="9026"/>
            </w:tabs>
            <w:spacing w:before="120" w:after="60"/>
          </w:pPr>
          <w:hyperlink w:anchor="_Toc100143" w:history="1">
            <w:r>
              <w:rPr>
                <w:rStyle w:val="Hyperlink"/>
              </w:rPr>
              <w:t>16.6 الخطوات التالية (Next Steps)</w:t>
            </w:r>
            <w:r>
              <w:tab/>
            </w:r>
            <w:r>
              <w:fldChar w:fldCharType="begin"/>
            </w:r>
            <w:r>
              <w:instrText xml:space="preserve"> PAGEREF _Toc100143 \h </w:instrText>
            </w:r>
            <w:r>
              <w:fldChar w:fldCharType="separate"/>
            </w:r>
            <w:r>
              <w:t>36</w:t>
            </w:r>
            <w:r>
              <w:fldChar w:fldCharType="end"/>
            </w:r>
          </w:hyperlink>
        </w:p>
        <w:p>
          <w:pPr>
            <w:pStyle w:val="11"/>
            <w:ind w:left="360"/>
            <w:tabs>
              <w:tab w:val="right" w:leader="dot" w:pos="9026"/>
            </w:tabs>
            <w:spacing w:before="120" w:after="60"/>
          </w:pPr>
          <w:hyperlink w:anchor="_Toc100144" w:history="1">
            <w:r>
              <w:rPr>
                <w:rStyle w:val="Hyperlink"/>
              </w:rPr>
              <w:t>16.7 معلومات التواصل</w:t>
            </w:r>
            <w:r>
              <w:tab/>
            </w:r>
            <w:r>
              <w:fldChar w:fldCharType="begin"/>
            </w:r>
            <w:r>
              <w:instrText xml:space="preserve"> PAGEREF _Toc100144 \h </w:instrText>
            </w:r>
            <w:r>
              <w:fldChar w:fldCharType="separate"/>
            </w:r>
            <w:r>
              <w:t>36</w:t>
            </w:r>
            <w:r>
              <w:fldChar w:fldCharType="end"/>
            </w:r>
          </w:hyperlink>
        </w:p>
        <w:p>
          <w:r>
            <w:fldChar w:fldCharType="end"/>
          </w:r>
        </w:p>
      </w:sdtContent>
    </w:sdt>
    <w:p>
      <w:pPr>
        <w:spacing w:before="200"/>
        <w:jc w:val="center"/>
      </w:pPr>
      <w:r>
        <w:rPr>
          <w:rFonts w:ascii="Cairo" w:eastAsia="Cairo"/>
          <w:i/>
          <w:iCs/>
          <w:color w:val="6c757d"/>
          <w:sz w:val="18"/>
          <w:szCs w:val="18"/>
        </w:rPr>
        <w:t xml:space="preserve">[انقر بزر الماوس الأيمن واختر تحديث الحقل لتحديث جدول المحتويات]</w:t>
      </w:r>
    </w:p>
    <w:p>
      <w:r>
        <w:br w:type="page"/>
      </w:r>
    </w:p>
    <w:p>
      <w:pPr>
        <w:sectPr>
          <w:pgSz w:w="11906" w:h="16838" w:orient="portrait"/>
          <w:pgMar w:top="1440" w:right="1417" w:bottom="1440" w:left="1701" w:header="708" w:footer="708" w:gutter="0"/>
          <w:pgNumType/>
          <w:docGrid w:linePitch="360"/>
        </w:sectPr>
      </w:pPr>
    </w:p>
    <w:p>
      <w:pPr>
        <w:pStyle w:val="Heading1"/>
        <w:spacing w:after="200" w:before="400" w:line="360"/>
        <w:jc w:val="right"/>
      </w:pPr>
      <w:bookmarkStart w:id="100000" w:name="_Toc100000"/>
      <w:r>
        <w:rPr>
          <w:rFonts w:ascii="Cairo" w:eastAsia="Cairo"/>
          <w:b/>
          <w:bCs/>
          <w:color w:val="005f73"/>
          <w:sz w:val="36"/>
          <w:szCs w:val="36"/>
        </w:rPr>
        <w:t xml:space="preserve">1. الملخص التنفيذي (Executive Summary)</w:t>
      </w:r>
      <w:bookmarkEnd w:id="100000"/>
    </w:p>
    <w:p>
      <w:pPr>
        <w:pStyle w:val="Heading2"/>
        <w:spacing w:after="150" w:before="300" w:line="340"/>
        <w:jc w:val="right"/>
      </w:pPr>
      <w:bookmarkStart w:id="100001" w:name="_Toc100001"/>
      <w:r>
        <w:rPr>
          <w:rFonts w:ascii="Cairo" w:eastAsia="Cairo"/>
          <w:b/>
          <w:bCs/>
          <w:color w:val="0a9396"/>
          <w:sz w:val="30"/>
          <w:szCs w:val="30"/>
        </w:rPr>
        <w:t xml:space="preserve">1.1 نظرة عامة على المشروع</w:t>
      </w:r>
      <w:bookmarkEnd w:id="100001"/>
    </w:p>
    <w:p>
      <w:pPr>
        <w:spacing w:after="160" w:line="360"/>
        <w:ind w:firstLine="480"/>
        <w:jc w:val="both"/>
      </w:pPr>
      <w:r>
        <w:rPr>
          <w:rFonts w:ascii="Cairo" w:eastAsia="Cairo"/>
          <w:color w:val="1a1a2e"/>
          <w:sz w:val="24"/>
          <w:szCs w:val="24"/>
        </w:rPr>
        <w:t xml:space="preserve">Accounting Pro هو تطبيق محاسبي وإداري متكامل مصمم خصيصاً للشركات الصغيرة والمتوسطة في المنطقة العربية. يتميز التطبيق بواجهة مستخدم عربية بالكامل مع دعم كامل لاتجاه الكتابة من اليمين إلى اليسار (RTL)، مما يوفر تجربة استخدام سلسة وطبيعية للمستخدمين العرب. يُبنى التطبيق باستخدام أحدث تقنيات الويب الحديثة ويُغلف في حزمة سطح مكتب تعمل على نظام تشغيل ويندوز، مما يجمع بين مرونة تطبيقات الويب وأداء برامج سطح المكتب المحلية.</w:t>
      </w:r>
    </w:p>
    <w:p>
      <w:pPr>
        <w:spacing w:after="160" w:line="360"/>
        <w:ind w:firstLine="480"/>
        <w:jc w:val="both"/>
      </w:pPr>
      <w:r>
        <w:rPr>
          <w:rFonts w:ascii="Cairo" w:eastAsia="Cairo"/>
          <w:color w:val="1a1a2e"/>
          <w:sz w:val="24"/>
          <w:szCs w:val="24"/>
        </w:rPr>
        <w:t xml:space="preserve">يستهدف المشروع سوقاً واسعاً من الشركات الصغيرة والمتوسطة التي تحتاج إلى حل محاسبي موثوق وسهل الاستخدام دون الحاجة إلى اتصال دائم بالإنترنت أو تكاليف اشتراك شهرية مرتفعة. يوفر التطبيق مجموعة شاملة من الميزات تشمل إدارة المبيعات والمشتريات، المتابعة المخزونية، إدارة العملاء والموردين، الخزينة والتقارير المالية، كل ذلك في بيئة عمل واحدة متكاملة.</w:t>
      </w:r>
    </w:p>
    <w:p>
      <w:pPr>
        <w:pStyle w:val="Heading2"/>
        <w:spacing w:after="150" w:before="300" w:line="340"/>
        <w:jc w:val="right"/>
      </w:pPr>
      <w:bookmarkStart w:id="100002" w:name="_Toc100002"/>
      <w:r>
        <w:rPr>
          <w:rFonts w:ascii="Cairo" w:eastAsia="Cairo"/>
          <w:b/>
          <w:bCs/>
          <w:color w:val="0a9396"/>
          <w:sz w:val="30"/>
          <w:szCs w:val="30"/>
        </w:rPr>
        <w:t xml:space="preserve">1.2 الأهداف الاستراتيجية</w:t>
      </w:r>
      <w:bookmarkEnd w:id="100002"/>
    </w:p>
    <w:p>
      <w:pPr>
        <w:spacing w:after="160" w:line="360"/>
        <w:ind w:firstLine="480"/>
        <w:jc w:val="both"/>
      </w:pPr>
      <w:r>
        <w:rPr>
          <w:rFonts w:ascii="Cairo" w:eastAsia="Cairo"/>
          <w:color w:val="1a1a2e"/>
          <w:sz w:val="24"/>
          <w:szCs w:val="24"/>
        </w:rPr>
        <w:t xml:space="preserve">يسعى المشروع إلى تحقيق عدة أهداف استراتيجية محددة وقابلة للقياس خلال فترة التنفيذ والتشغيل الأولى:</w:t>
      </w:r>
    </w:p>
    <w:p>
      <w:pPr>
        <w:pStyle w:val="ListParagraph"/>
        <w:numPr>
          <w:ilvl w:val="0"/>
          <w:numId w:val="2"/>
        </w:numPr>
        <w:spacing w:after="100" w:line="340"/>
        <w:jc w:val="right"/>
      </w:pPr>
      <w:r>
        <w:rPr>
          <w:rFonts w:ascii="Cairo" w:eastAsia="Cairo"/>
          <w:color w:val="1a1a2e"/>
          <w:sz w:val="24"/>
          <w:szCs w:val="24"/>
        </w:rPr>
        <w:t xml:space="preserve">توفير حل محاسبي احترافي بأسعار معقولة تنافس الحلول السحابية المكلفة</w:t>
      </w:r>
    </w:p>
    <w:p>
      <w:pPr>
        <w:pStyle w:val="ListParagraph"/>
        <w:numPr>
          <w:ilvl w:val="0"/>
          <w:numId w:val="2"/>
        </w:numPr>
        <w:spacing w:after="100" w:line="340"/>
        <w:jc w:val="right"/>
      </w:pPr>
      <w:r>
        <w:rPr>
          <w:rFonts w:ascii="Cairo" w:eastAsia="Cairo"/>
          <w:color w:val="1a1a2e"/>
          <w:sz w:val="24"/>
          <w:szCs w:val="24"/>
        </w:rPr>
        <w:t xml:space="preserve">ضمان أمان البيانات المالية من خلال التخزين المحلي على جهاز العميل</w:t>
      </w:r>
    </w:p>
    <w:p>
      <w:pPr>
        <w:pStyle w:val="ListParagraph"/>
        <w:numPr>
          <w:ilvl w:val="0"/>
          <w:numId w:val="2"/>
        </w:numPr>
        <w:spacing w:after="100" w:line="340"/>
        <w:jc w:val="right"/>
      </w:pPr>
      <w:r>
        <w:rPr>
          <w:rFonts w:ascii="Cairo" w:eastAsia="Cairo"/>
          <w:color w:val="1a1a2e"/>
          <w:sz w:val="24"/>
          <w:szCs w:val="24"/>
        </w:rPr>
        <w:t xml:space="preserve">تقديم واجهة عربية أصيلة تدعم متطلبات العمل المحلي بدقة</w:t>
      </w:r>
    </w:p>
    <w:p>
      <w:pPr>
        <w:pStyle w:val="ListParagraph"/>
        <w:numPr>
          <w:ilvl w:val="0"/>
          <w:numId w:val="2"/>
        </w:numPr>
        <w:spacing w:after="100" w:line="340"/>
        <w:jc w:val="right"/>
      </w:pPr>
      <w:r>
        <w:rPr>
          <w:rFonts w:ascii="Cairo" w:eastAsia="Cairo"/>
          <w:color w:val="1a1a2e"/>
          <w:sz w:val="24"/>
          <w:szCs w:val="24"/>
        </w:rPr>
        <w:t xml:space="preserve">تمكين الشركات من العمل بدون اتصال إنترنت (Offline-first approach)</w:t>
      </w:r>
    </w:p>
    <w:p>
      <w:pPr>
        <w:pStyle w:val="ListParagraph"/>
        <w:numPr>
          <w:ilvl w:val="0"/>
          <w:numId w:val="2"/>
        </w:numPr>
        <w:spacing w:after="100" w:line="340"/>
        <w:jc w:val="right"/>
      </w:pPr>
      <w:r>
        <w:rPr>
          <w:rFonts w:ascii="Cairo" w:eastAsia="Cairo"/>
          <w:color w:val="1a1a2e"/>
          <w:sz w:val="24"/>
          <w:szCs w:val="24"/>
        </w:rPr>
        <w:t xml:space="preserve">بناء قاعدة مستخدمين مخلصين تصل إلى 500+ شركة خلال السنة الأولى</w:t>
      </w:r>
    </w:p>
    <w:p>
      <w:pPr>
        <w:pStyle w:val="Heading2"/>
        <w:spacing w:after="150" w:before="300" w:line="340"/>
        <w:jc w:val="right"/>
      </w:pPr>
      <w:bookmarkStart w:id="100003" w:name="_Toc100003"/>
      <w:r>
        <w:rPr>
          <w:rFonts w:ascii="Cairo" w:eastAsia="Cairo"/>
          <w:b/>
          <w:bCs/>
          <w:color w:val="0a9396"/>
          <w:sz w:val="30"/>
          <w:szCs w:val="30"/>
        </w:rPr>
        <w:t xml:space="preserve">1.3 المزايا التنافسية</w:t>
      </w:r>
      <w:bookmarkEnd w:id="100003"/>
    </w:p>
    <w:p>
      <w:pPr>
        <w:spacing w:after="160" w:line="360"/>
        <w:ind w:firstLine="480"/>
        <w:jc w:val="both"/>
      </w:pPr>
      <w:r>
        <w:rPr>
          <w:rFonts w:ascii="Cairo" w:eastAsia="Cairo"/>
          <w:color w:val="1a1a2e"/>
          <w:sz w:val="24"/>
          <w:szCs w:val="24"/>
        </w:rPr>
        <w:t xml:space="preserve">يتميز Accounting Pro بعدة مزايا تنافسية تميزه عن الحلول المتاحة في السوق العربي. أولاً، التركيز الكامل على تجربة المستخدم العربية مع دعم RTL أصيل وليس مجرد ترجمة لواجهة أجنبية. ثانياً، نموذج التسعير لمرة واحدة (One-time purchase) بدلاً من الاشتراكات الشهرية التي تثقل كاهل الشركات الصغيرة. ثالثاً، الأداء العالي والاستجابة السريعة بفضل البنية المحلية التي لا تعتمد على الخوادم السحابية.</w:t>
      </w:r>
    </w:p>
    <w:p>
      <w:pPr>
        <w:spacing w:after="160" w:line="360"/>
        <w:ind w:firstLine="480"/>
        <w:jc w:val="both"/>
      </w:pPr>
      <w:r>
        <w:rPr>
          <w:rFonts w:ascii="Cairo" w:eastAsia="Cairo"/>
          <w:color w:val="1a1a2e"/>
          <w:sz w:val="24"/>
          <w:szCs w:val="24"/>
        </w:rPr>
        <w:t xml:space="preserve">رابعاً، سهولة النشر والتركيب حيث لا يتطلب التطبيق خبرة تقنية معقدة للتشغيل. خامساً، الدعم الفني المحلي باللغة العربية مع فهم عميق للاحتياجات المحلية ومتطلبات الضريبة والمحاسبة في المنطقة.</w:t>
      </w:r>
    </w:p>
    <w:p>
      <w:pPr>
        <w:pStyle w:val="Heading2"/>
        <w:spacing w:after="150" w:before="300" w:line="340"/>
        <w:jc w:val="right"/>
      </w:pPr>
      <w:bookmarkStart w:id="100004" w:name="_Toc100004"/>
      <w:r>
        <w:rPr>
          <w:rFonts w:ascii="Cairo" w:eastAsia="Cairo"/>
          <w:b/>
          <w:bCs/>
          <w:color w:val="0a9396"/>
          <w:sz w:val="30"/>
          <w:szCs w:val="30"/>
        </w:rPr>
        <w:t xml:space="preserve">1.4 العائد المتوقع على الاستثمار (ROI)</w:t>
      </w:r>
      <w:bookmarkEnd w:id="100004"/>
    </w:p>
    <w:p>
      <w:pPr>
        <w:spacing w:after="160" w:line="360"/>
        <w:ind w:firstLine="480"/>
        <w:jc w:val="both"/>
      </w:pPr>
      <w:r>
        <w:rPr>
          <w:rFonts w:ascii="Cairo" w:eastAsia="Cairo"/>
          <w:color w:val="1a1a2e"/>
          <w:sz w:val="24"/>
          <w:szCs w:val="24"/>
        </w:rPr>
        <w:t xml:space="preserve">بناءً على التحليل المالي الأولي، يتوقع المشروع تحقيق نقطة التعادل (Break-even point) خلال 18 شهراً من الإطلاق، مع تحقيق هامش ربح صافٍ يتراوح بين 25-35% بدءاً من السنة الثانية. تُقدر القيمة الحالية الصافية (NPV) للمشروع بمبلغ يقارب 450,000 ريال سعودي على مدى 5 سنوات، مع معدل عائد داخلي (IRR) يتجاوز 45%.</w:t>
      </w:r>
    </w:p>
    <w:p>
      <w:pPr>
        <w:pStyle w:val="Heading2"/>
        <w:spacing w:after="150" w:before="300" w:line="340"/>
        <w:jc w:val="right"/>
      </w:pPr>
      <w:bookmarkStart w:id="100005" w:name="_Toc100005"/>
      <w:r>
        <w:rPr>
          <w:rFonts w:ascii="Cairo" w:eastAsia="Cairo"/>
          <w:b/>
          <w:bCs/>
          <w:color w:val="0a9396"/>
          <w:sz w:val="30"/>
          <w:szCs w:val="30"/>
        </w:rPr>
        <w:t xml:space="preserve">1.5 ملخص الجدول الزمني</w:t>
      </w:r>
      <w:bookmarkEnd w:id="100005"/>
    </w:p>
    <w:p>
      <w:pPr>
        <w:spacing w:after="160" w:line="360"/>
        <w:ind w:firstLine="480"/>
        <w:jc w:val="both"/>
      </w:pPr>
      <w:r>
        <w:rPr>
          <w:rFonts w:ascii="Cairo" w:eastAsia="Cairo"/>
          <w:color w:val="1a1a2e"/>
          <w:sz w:val="24"/>
          <w:szCs w:val="24"/>
        </w:rPr>
        <w:t xml:space="preserve">يمتد الجدول الزمني للمشروع على 6 مراحل رئيسية تمتد لمدة 6 أشهر: المرحلة الأولى (4 أسابيع) لإعداد البنية التحتية والإلكترون وقاعدة البيانات، المرحلة الثانية (5 أسابيع) للعمليات الأساسية CRUD، المرحلة الثالثة (6 أسابيع) لنظام الفواتير، الرابعة (4 أسابيع) للمنطق المالي، الخامسة (3 أسابيع) للتقارير، والسادسة (4 أسابيع) للاختبار والتحسينات النهائية.</w:t>
      </w:r>
    </w:p>
    <w:p>
      <w:pPr>
        <w:pStyle w:val="Heading1"/>
        <w:spacing w:after="200" w:before="400" w:line="360"/>
        <w:jc w:val="right"/>
      </w:pPr>
      <w:bookmarkStart w:id="100006" w:name="_Toc100006"/>
      <w:r>
        <w:rPr>
          <w:rFonts w:ascii="Cairo" w:eastAsia="Cairo"/>
          <w:b/>
          <w:bCs/>
          <w:color w:val="005f73"/>
          <w:sz w:val="36"/>
          <w:szCs w:val="36"/>
        </w:rPr>
        <w:t xml:space="preserve">2. مقدمة المشروع ونظرة عامة (Project Introduction &amp; Overview)</w:t>
      </w:r>
      <w:bookmarkEnd w:id="100006"/>
    </w:p>
    <w:p>
      <w:pPr>
        <w:pStyle w:val="Heading2"/>
        <w:spacing w:after="150" w:before="300" w:line="340"/>
        <w:jc w:val="right"/>
      </w:pPr>
      <w:bookmarkStart w:id="100007" w:name="_Toc100007"/>
      <w:r>
        <w:rPr>
          <w:rFonts w:ascii="Cairo" w:eastAsia="Cairo"/>
          <w:b/>
          <w:bCs/>
          <w:color w:val="0a9396"/>
          <w:sz w:val="30"/>
          <w:szCs w:val="30"/>
        </w:rPr>
        <w:t xml:space="preserve">2.1 مشكلة السوق والحاجة</w:t>
      </w:r>
      <w:bookmarkEnd w:id="100007"/>
    </w:p>
    <w:p>
      <w:pPr>
        <w:spacing w:after="160" w:line="360"/>
        <w:ind w:firstLine="480"/>
        <w:jc w:val="both"/>
      </w:pPr>
      <w:r>
        <w:rPr>
          <w:rFonts w:ascii="Cairo" w:eastAsia="Cairo"/>
          <w:color w:val="1a1a2e"/>
          <w:sz w:val="24"/>
          <w:szCs w:val="24"/>
        </w:rPr>
        <w:t xml:space="preserve">تواجه الشركات الصغيرة والمتوسطة في الوطن العربي تحديات جوهرية في إدارة حساباتها المالية بشكل فعال. الحلول المحاسبية العالمية مثل QuickBooks وXero رغم قوتها، إلا أنها تواجه عقبات متعددة عند تطبيقها في السياق العربي. أبرز هذه العقبات هي غياب الدعم الكامل للغة العربية واتجاه الكتابة من اليمين لليسار، بالإضافة إلى ارتفاع تكاليف الاشتراكات الشهرية التي قد تتراوح بين 50-200 دولار شهرياً وهو مبلغ كبير بالنسبة للشركات الناشئة.</w:t>
      </w:r>
    </w:p>
    <w:p>
      <w:pPr>
        <w:spacing w:after="160" w:line="360"/>
        <w:ind w:firstLine="480"/>
        <w:jc w:val="both"/>
      </w:pPr>
      <w:r>
        <w:rPr>
          <w:rFonts w:ascii="Cairo" w:eastAsia="Cairo"/>
          <w:color w:val="1a1a2e"/>
          <w:sz w:val="24"/>
          <w:szCs w:val="24"/>
        </w:rPr>
        <w:t xml:space="preserve">من جهة أخرى، الحلول المحلية المتاحة غالباً ما تعاني من مشاكل تقنية قديمة، واجهات مستخدم غير حداثية، وضعف في الأمان وحماية البيانات، بالإضافة إلى عدم التوافق مع أنظمة التشغيل الحديثة. هذا الفراغ في السوق يمثل فرصة ذهبية لتقديم حل يجمع بين التقنية الحديثة والفهم العميق لاحتياجات السوق المحلي.</w:t>
      </w:r>
    </w:p>
    <w:p>
      <w:pPr>
        <w:pStyle w:val="Heading2"/>
        <w:spacing w:after="150" w:before="300" w:line="340"/>
        <w:jc w:val="right"/>
      </w:pPr>
      <w:bookmarkStart w:id="100008" w:name="_Toc100008"/>
      <w:r>
        <w:rPr>
          <w:rFonts w:ascii="Cairo" w:eastAsia="Cairo"/>
          <w:b/>
          <w:bCs/>
          <w:color w:val="0a9396"/>
          <w:sz w:val="30"/>
          <w:szCs w:val="30"/>
        </w:rPr>
        <w:t xml:space="preserve">2.2 الحل المقترح</w:t>
      </w:r>
      <w:bookmarkEnd w:id="100008"/>
    </w:p>
    <w:p>
      <w:pPr>
        <w:spacing w:after="160" w:line="360"/>
        <w:ind w:firstLine="480"/>
        <w:jc w:val="both"/>
      </w:pPr>
      <w:r>
        <w:rPr>
          <w:rFonts w:ascii="Cairo" w:eastAsia="Cairo"/>
          <w:color w:val="1a1a2e"/>
          <w:sz w:val="24"/>
          <w:szCs w:val="24"/>
        </w:rPr>
        <w:t xml:space="preserve">Accounting Pro يقدم حلاً مبتكراً يجمع بين أفضل ما في العالمين: تقنية الويب الحديثة (React.js) مع أداء برامج سطح المكتب المحلية (Electron). يعمل التطبيق محلياً على جهاز العميل مما يضمن سرعة فائقة واستمرارية العمل حتى في حالة انقطاع الإنترنت. قاعدة بيانات SQLite المحلية توفر أماناً عالياً للبيانات المالية الحساسة دون الحاجة لنقلها عبر الشبكة.</w:t>
      </w:r>
    </w:p>
    <w:p>
      <w:pPr>
        <w:spacing w:after="160" w:line="360"/>
        <w:ind w:firstLine="480"/>
        <w:jc w:val="both"/>
      </w:pPr>
      <w:r>
        <w:rPr>
          <w:rFonts w:ascii="Cairo" w:eastAsia="Cairo"/>
          <w:color w:val="1a1a2e"/>
          <w:sz w:val="24"/>
          <w:szCs w:val="24"/>
        </w:rPr>
        <w:t xml:space="preserve">يدعم التطبيق جميع العمليات المحاسبية الأساسية بدءاً من إدارة الأصناف والمخازن، مروراً بإصدار فواتير المبيعات والمشتريات بأنواعها المختلفة، وصولاً إلى إنتاج التقارير المالية المتكاملة. كما يتضمن نظام صلاحيات متعدد المستويات يسمح بتقسيم المهام بين الموظفين مع الحفاظ على سرية البيانات الحساسة.</w:t>
      </w:r>
    </w:p>
    <w:p>
      <w:pPr>
        <w:pStyle w:val="Heading2"/>
        <w:spacing w:after="150" w:before="300" w:line="340"/>
        <w:jc w:val="right"/>
      </w:pPr>
      <w:bookmarkStart w:id="100009" w:name="_Toc100009"/>
      <w:r>
        <w:rPr>
          <w:rFonts w:ascii="Cairo" w:eastAsia="Cairo"/>
          <w:b/>
          <w:bCs/>
          <w:color w:val="0a9396"/>
          <w:sz w:val="30"/>
          <w:szCs w:val="30"/>
        </w:rPr>
        <w:t xml:space="preserve">2.3 نطاق المشروع (Scope)</w:t>
      </w:r>
      <w:bookmarkEnd w:id="100009"/>
    </w:p>
    <w:p>
      <w:pPr>
        <w:spacing w:after="160" w:line="360"/>
        <w:ind w:firstLine="480"/>
        <w:jc w:val="both"/>
      </w:pPr>
      <w:r>
        <w:rPr>
          <w:rFonts w:ascii="Cairo" w:eastAsia="Cairo"/>
          <w:color w:val="1a1a2e"/>
          <w:sz w:val="24"/>
          <w:szCs w:val="24"/>
        </w:rPr>
        <w:t xml:space="preserve">يشمل نطاق المشروع الحالي التطوير الكامل لنظام محاسبي يعمل على أنظمة ويندوز (Windows 10/11) مع التخطيط المستقبلي لدعم أنظمة macOS. يتضمن النطاق:</w:t>
      </w:r>
    </w:p>
    <w:p>
      <w:pPr>
        <w:pStyle w:val="ListParagraph"/>
        <w:numPr>
          <w:ilvl w:val="0"/>
          <w:numId w:val="2"/>
        </w:numPr>
        <w:spacing w:after="100" w:line="340"/>
        <w:jc w:val="right"/>
      </w:pPr>
      <w:r>
        <w:rPr>
          <w:rFonts w:ascii="Cairo" w:eastAsia="Cairo"/>
          <w:color w:val="1a1a2e"/>
          <w:sz w:val="24"/>
          <w:szCs w:val="24"/>
        </w:rPr>
        <w:t xml:space="preserve">وحدة لوحة التحكم (Dashboard) مع مؤشرات الأداء الرئيسية KPIs</w:t>
      </w:r>
    </w:p>
    <w:p>
      <w:pPr>
        <w:pStyle w:val="ListParagraph"/>
        <w:numPr>
          <w:ilvl w:val="0"/>
          <w:numId w:val="2"/>
        </w:numPr>
        <w:spacing w:after="100" w:line="340"/>
        <w:jc w:val="right"/>
      </w:pPr>
      <w:r>
        <w:rPr>
          <w:rFonts w:ascii="Cairo" w:eastAsia="Cairo"/>
          <w:color w:val="1a1a2e"/>
          <w:sz w:val="24"/>
          <w:szCs w:val="24"/>
        </w:rPr>
        <w:t xml:space="preserve">نظام شامل لإدارة الفواتير (مبيعات، مشتريات، مردودات)</w:t>
      </w:r>
    </w:p>
    <w:p>
      <w:pPr>
        <w:pStyle w:val="ListParagraph"/>
        <w:numPr>
          <w:ilvl w:val="0"/>
          <w:numId w:val="2"/>
        </w:numPr>
        <w:spacing w:after="100" w:line="340"/>
        <w:jc w:val="right"/>
      </w:pPr>
      <w:r>
        <w:rPr>
          <w:rFonts w:ascii="Cairo" w:eastAsia="Cairo"/>
          <w:color w:val="1a1a2e"/>
          <w:sz w:val="24"/>
          <w:szCs w:val="24"/>
        </w:rPr>
        <w:t xml:space="preserve">إدارة متكاملة للمخزون والأصناف والمخازن</w:t>
      </w:r>
    </w:p>
    <w:p>
      <w:pPr>
        <w:pStyle w:val="ListParagraph"/>
        <w:numPr>
          <w:ilvl w:val="0"/>
          <w:numId w:val="2"/>
        </w:numPr>
        <w:spacing w:after="100" w:line="340"/>
        <w:jc w:val="right"/>
      </w:pPr>
      <w:r>
        <w:rPr>
          <w:rFonts w:ascii="Cairo" w:eastAsia="Cairo"/>
          <w:color w:val="1a1a2e"/>
          <w:sz w:val="24"/>
          <w:szCs w:val="24"/>
        </w:rPr>
        <w:t xml:space="preserve">إدارة علاقات العملاء والموردين مع كشف الحسابات</w:t>
      </w:r>
    </w:p>
    <w:p>
      <w:pPr>
        <w:pStyle w:val="ListParagraph"/>
        <w:numPr>
          <w:ilvl w:val="0"/>
          <w:numId w:val="2"/>
        </w:numPr>
        <w:spacing w:after="100" w:line="340"/>
        <w:jc w:val="right"/>
      </w:pPr>
      <w:r>
        <w:rPr>
          <w:rFonts w:ascii="Cairo" w:eastAsia="Cairo"/>
          <w:color w:val="1a1a2e"/>
          <w:sz w:val="24"/>
          <w:szCs w:val="24"/>
        </w:rPr>
        <w:t xml:space="preserve">نظام خزينة متكامل لحركة النقدية</w:t>
      </w:r>
    </w:p>
    <w:p>
      <w:pPr>
        <w:pStyle w:val="ListParagraph"/>
        <w:numPr>
          <w:ilvl w:val="0"/>
          <w:numId w:val="2"/>
        </w:numPr>
        <w:spacing w:after="100" w:line="340"/>
        <w:jc w:val="right"/>
      </w:pPr>
      <w:r>
        <w:rPr>
          <w:rFonts w:ascii="Cairo" w:eastAsia="Cairo"/>
          <w:color w:val="1a1a2e"/>
          <w:sz w:val="24"/>
          <w:szCs w:val="24"/>
        </w:rPr>
        <w:t xml:space="preserve">مجموعة تقارير مالية (أرباح وخسائر، ميزانية، مبيعات)</w:t>
      </w:r>
    </w:p>
    <w:p>
      <w:pPr>
        <w:pStyle w:val="ListParagraph"/>
        <w:numPr>
          <w:ilvl w:val="0"/>
          <w:numId w:val="2"/>
        </w:numPr>
        <w:spacing w:after="100" w:line="340"/>
        <w:jc w:val="right"/>
      </w:pPr>
      <w:r>
        <w:rPr>
          <w:rFonts w:ascii="Cairo" w:eastAsia="Cairo"/>
          <w:color w:val="1a1a2e"/>
          <w:sz w:val="24"/>
          <w:szCs w:val="24"/>
        </w:rPr>
        <w:t xml:space="preserve">نظام إعدادات شامل (بيانات الشركة، مستخدمين، نسخ احتياطي)</w:t>
      </w:r>
    </w:p>
    <w:p>
      <w:pPr>
        <w:pStyle w:val="Heading2"/>
        <w:spacing w:after="150" w:before="300" w:line="340"/>
        <w:jc w:val="right"/>
      </w:pPr>
      <w:bookmarkStart w:id="100010" w:name="_Toc100010"/>
      <w:r>
        <w:rPr>
          <w:rFonts w:ascii="Cairo" w:eastAsia="Cairo"/>
          <w:b/>
          <w:bCs/>
          <w:color w:val="0a9396"/>
          <w:sz w:val="30"/>
          <w:szCs w:val="30"/>
        </w:rPr>
        <w:t xml:space="preserve">2.4 معايير النجاح</w:t>
      </w:r>
      <w:bookmarkEnd w:id="100010"/>
    </w:p>
    <w:p>
      <w:pPr>
        <w:spacing w:after="160" w:line="360"/>
        <w:ind w:firstLine="480"/>
        <w:jc w:val="both"/>
      </w:pPr>
      <w:r>
        <w:rPr>
          <w:rFonts w:ascii="Cairo" w:eastAsia="Cairo"/>
          <w:color w:val="1a1a2e"/>
          <w:sz w:val="24"/>
          <w:szCs w:val="24"/>
        </w:rPr>
        <w:t xml:space="preserve">يُقاس نجاح المشروع من خلال مجموعة من المعايير الكمية والنوعية المحددة مسبقاً. من المعايير الكمية: تحميل 1000 نسخة خلال الأشهر الستة الأولى، تحقيق تقييم 4.5+ في متجر التطبيقات، الحفاظ على معدل أخطاء أقل من 1%. من المعايير النوعية: رضا المستخدمين عن سهولة الاستخدام، جودة الدعم الفني المقدم، سرعة الاستجابة لتقارير الأخطاء.</w:t>
      </w:r>
    </w:p>
    <w:p>
      <w:pPr>
        <w:pStyle w:val="Heading2"/>
        <w:spacing w:after="150" w:before="300" w:line="340"/>
        <w:jc w:val="right"/>
      </w:pPr>
      <w:bookmarkStart w:id="100011" w:name="_Toc100011"/>
      <w:r>
        <w:rPr>
          <w:rFonts w:ascii="Cairo" w:eastAsia="Cairo"/>
          <w:b/>
          <w:bCs/>
          <w:color w:val="0a9396"/>
          <w:sz w:val="30"/>
          <w:szCs w:val="30"/>
        </w:rPr>
        <w:t xml:space="preserve">2.5 تحليل أصحاب المصلحة</w:t>
      </w:r>
      <w:bookmarkEnd w:id="100011"/>
    </w:p>
    <w:p>
      <w:pPr>
        <w:spacing w:after="160" w:line="360"/>
        <w:ind w:firstLine="480"/>
        <w:jc w:val="both"/>
      </w:pPr>
      <w:r>
        <w:rPr>
          <w:rFonts w:ascii="Cairo" w:eastAsia="Cairo"/>
          <w:color w:val="1a1a2e"/>
          <w:sz w:val="24"/>
          <w:szCs w:val="24"/>
        </w:rPr>
        <w:t xml:space="preserve">يتضمن المشروع عدة فئات من أصحاب المصلحة الذين يجب مراعاة احتياجاتهم وتوقعاتهم. المستخدمون النهائيون هم محاسبو ومدراء الشركات الصغيرة والمتوسطة الذين يحتاجون لأداة موثوقة وسهلة لإدارة حساباتهم. المستثمرون يهتمون بالعائد على الاستثمار ونمو قاعدة المستخدمين. فريق التطوير يحتاج لمتطلبات واضحة وموارد كافية. الموزعون وشركاء البيع يحتاجون لمواد تسويقية فعالة وهامش ربح مناسب.</w:t>
      </w:r>
    </w:p>
    <w:p>
      <w:pPr>
        <w:pStyle w:val="Heading1"/>
        <w:spacing w:after="200" w:before="400" w:line="360"/>
        <w:jc w:val="right"/>
      </w:pPr>
      <w:bookmarkStart w:id="100012" w:name="_Toc100012"/>
      <w:r>
        <w:rPr>
          <w:rFonts w:ascii="Cairo" w:eastAsia="Cairo"/>
          <w:b/>
          <w:bCs/>
          <w:color w:val="005f73"/>
          <w:sz w:val="36"/>
          <w:szCs w:val="36"/>
        </w:rPr>
        <w:t xml:space="preserve">3. الأهداف والمتطلبات (Objectives &amp; Requirements)</w:t>
      </w:r>
      <w:bookmarkEnd w:id="100012"/>
    </w:p>
    <w:p>
      <w:pPr>
        <w:pStyle w:val="Heading2"/>
        <w:spacing w:after="150" w:before="300" w:line="340"/>
        <w:jc w:val="right"/>
      </w:pPr>
      <w:bookmarkStart w:id="100013" w:name="_Toc100013"/>
      <w:r>
        <w:rPr>
          <w:rFonts w:ascii="Cairo" w:eastAsia="Cairo"/>
          <w:b/>
          <w:bCs/>
          <w:color w:val="0a9396"/>
          <w:sz w:val="30"/>
          <w:szCs w:val="30"/>
        </w:rPr>
        <w:t xml:space="preserve">3.1 الأهداف الوظيفية (Functional Objectives)</w:t>
      </w:r>
      <w:bookmarkEnd w:id="100013"/>
    </w:p>
    <w:p>
      <w:pPr>
        <w:pStyle w:val="Heading3"/>
        <w:spacing w:after="120" w:before="240" w:line="320"/>
        <w:jc w:val="right"/>
      </w:pPr>
      <w:bookmarkStart w:id="100014" w:name="_Toc100014"/>
      <w:r>
        <w:rPr>
          <w:rFonts w:ascii="Cairo" w:eastAsia="Cairo"/>
          <w:b/>
          <w:bCs/>
          <w:color w:val="1a1a2e"/>
          <w:sz w:val="26"/>
          <w:szCs w:val="26"/>
        </w:rPr>
        <w:t xml:space="preserve">3.1.1 أولوية عالية (Must Have)</w:t>
      </w:r>
      <w:bookmarkEnd w:id="100014"/>
    </w:p>
    <w:p>
      <w:pPr>
        <w:spacing w:after="160" w:line="360"/>
        <w:ind w:firstLine="480"/>
        <w:jc w:val="both"/>
      </w:pPr>
      <w:r>
        <w:rPr>
          <w:rFonts w:ascii="Cairo" w:eastAsia="Cairo"/>
          <w:color w:val="1a1a2e"/>
          <w:sz w:val="24"/>
          <w:szCs w:val="24"/>
        </w:rPr>
        <w:t xml:space="preserve">تمثل هذه المتطلبات الأساسية التي لا يمكن إطلاق المشروع بدونها. تشمل: إدارة كاملة للفواتير بأنواعها الأربعة (مبيعات، مشتريات، مردود مبيعات، مردود مشتريات) مع دعم طرق الدفع المتعددة (نقدي، جزئي، آجل). نظام مخزون متكامل يتتبع الكميات تلقائياً مع كل عملية. إدارة العملاء والموردين مع حساب الأرصدة تلقائياً. نظام خزينة يسجل جميع حركات النقدية. تقارير مالية أساسية (قائمة دخل، ميزانية).</w:t>
      </w:r>
    </w:p>
    <w:p>
      <w:pPr>
        <w:pStyle w:val="Heading3"/>
        <w:spacing w:after="120" w:before="240" w:line="320"/>
        <w:jc w:val="right"/>
      </w:pPr>
      <w:bookmarkStart w:id="100015" w:name="_Toc100015"/>
      <w:r>
        <w:rPr>
          <w:rFonts w:ascii="Cairo" w:eastAsia="Cairo"/>
          <w:b/>
          <w:bCs/>
          <w:color w:val="1a1a2e"/>
          <w:sz w:val="26"/>
          <w:szCs w:val="26"/>
        </w:rPr>
        <w:t xml:space="preserve">3.1.2 أولوية متوسطة (Should Have)</w:t>
      </w:r>
      <w:bookmarkEnd w:id="100015"/>
    </w:p>
    <w:p>
      <w:pPr>
        <w:spacing w:after="160" w:line="360"/>
        <w:ind w:firstLine="480"/>
        <w:jc w:val="both"/>
      </w:pPr>
      <w:r>
        <w:rPr>
          <w:rFonts w:ascii="Cairo" w:eastAsia="Cairo"/>
          <w:color w:val="1a1a2e"/>
          <w:sz w:val="24"/>
          <w:szCs w:val="24"/>
        </w:rPr>
        <w:t xml:space="preserve">هذه المتطلبات مهمة جداً ولكن يمكن تأجيلها للإصدارات اللاحقة إذا استلزم الأمر. تشمل: نظام تصنيفات متعدد المستويات للأصناف. دعم العملة المتعددة. نظام إشعارات وتنبيهات للمخزون المنخفض وأرصدة العملاء المتأخرة. تقارير مخصصة قابلة للتصميم من قبل المستخدم. تصدير البيانات بصيغ متعددة (PDF, Excel, CSV).</w:t>
      </w:r>
    </w:p>
    <w:p>
      <w:pPr>
        <w:pStyle w:val="Heading3"/>
        <w:spacing w:after="120" w:before="240" w:line="320"/>
        <w:jc w:val="right"/>
      </w:pPr>
      <w:bookmarkStart w:id="100016" w:name="_Toc100016"/>
      <w:r>
        <w:rPr>
          <w:rFonts w:ascii="Cairo" w:eastAsia="Cairo"/>
          <w:b/>
          <w:bCs/>
          <w:color w:val="1a1a2e"/>
          <w:sz w:val="26"/>
          <w:szCs w:val="26"/>
        </w:rPr>
        <w:t xml:space="preserve">3.1.3 أولوية منخفضة (Nice to Have)</w:t>
      </w:r>
      <w:bookmarkEnd w:id="100016"/>
    </w:p>
    <w:p>
      <w:pPr>
        <w:spacing w:after="160" w:line="360"/>
        <w:ind w:firstLine="480"/>
        <w:jc w:val="both"/>
      </w:pPr>
      <w:r>
        <w:rPr>
          <w:rFonts w:ascii="Cairo" w:eastAsia="Cairo"/>
          <w:color w:val="1a1a2e"/>
          <w:sz w:val="24"/>
          <w:szCs w:val="24"/>
        </w:rPr>
        <w:t xml:space="preserve">ميزات إضافية تعزز قيمة المنتج ولكنها غير ضرورية للإطلاق الأولي. تشمل: تكامل مع البنوك لاستيراد كشوف الحسابات. تطبيق جوال مصاحب لعرض التقارير الأساسية. نظام نقاط بيع (POS) متكامل. واجهة برمجة تطبيقات (API) للتكامل مع الأنظمة الخارجية. دعم اللغات المتعددة beyond العربية.</w:t>
      </w:r>
    </w:p>
    <w:p>
      <w:pPr>
        <w:pStyle w:val="Heading2"/>
        <w:spacing w:after="150" w:before="300" w:line="340"/>
        <w:jc w:val="right"/>
      </w:pPr>
      <w:bookmarkStart w:id="100017" w:name="_Toc100017"/>
      <w:r>
        <w:rPr>
          <w:rFonts w:ascii="Cairo" w:eastAsia="Cairo"/>
          <w:b/>
          <w:bCs/>
          <w:color w:val="0a9396"/>
          <w:sz w:val="30"/>
          <w:szCs w:val="30"/>
        </w:rPr>
        <w:t xml:space="preserve">3.2 الأهداف غير الوظيفية (Non-Functional Requirements)</w:t>
      </w:r>
      <w:bookmarkEnd w:id="100017"/>
    </w:p>
    <w:p>
      <w:pPr>
        <w:pStyle w:val="Heading3"/>
        <w:spacing w:after="120" w:before="240" w:line="320"/>
        <w:jc w:val="right"/>
      </w:pPr>
      <w:bookmarkStart w:id="100018" w:name="_Toc100018"/>
      <w:r>
        <w:rPr>
          <w:rFonts w:ascii="Cairo" w:eastAsia="Cairo"/>
          <w:b/>
          <w:bCs/>
          <w:color w:val="1a1a2e"/>
          <w:sz w:val="26"/>
          <w:szCs w:val="26"/>
        </w:rPr>
        <w:t xml:space="preserve">3.2.1 متطلبات الأداء</w:t>
      </w:r>
      <w:bookmarkEnd w:id="100018"/>
    </w:p>
    <w:p>
      <w:pPr>
        <w:spacing w:after="160" w:line="360"/>
        <w:ind w:firstLine="480"/>
        <w:jc w:val="both"/>
      </w:pPr>
      <w:r>
        <w:rPr>
          <w:rFonts w:ascii="Cairo" w:eastAsia="Cairo"/>
          <w:color w:val="1a1a2e"/>
          <w:sz w:val="24"/>
          <w:szCs w:val="24"/>
        </w:rPr>
        <w:t xml:space="preserve">يجب أن يستجيب التطبيق لأوامر المستخدم في وقت لا يتجاوز ثانية واحدة لمعظم العمليات. يجب أن يدعم قاعدة بيانات تصل إلى 100,000 فاتورة و500,000 صنف دون تباطؤ ملحوظ. يجب أن يستهلك ذاكرة RAM لا تتجاوز 512MB في الحالة الطبيعية. يجب أن يعمل التطبيق بشكل مستقر لمدة 8 ساعات متواصلة بدون إعادة تشغيل.</w:t>
      </w:r>
    </w:p>
    <w:p>
      <w:pPr>
        <w:pStyle w:val="Heading3"/>
        <w:spacing w:after="120" w:before="240" w:line="320"/>
        <w:jc w:val="right"/>
      </w:pPr>
      <w:bookmarkStart w:id="100019" w:name="_Toc100019"/>
      <w:r>
        <w:rPr>
          <w:rFonts w:ascii="Cairo" w:eastAsia="Cairo"/>
          <w:b/>
          <w:bCs/>
          <w:color w:val="1a1a2e"/>
          <w:sz w:val="26"/>
          <w:szCs w:val="26"/>
        </w:rPr>
        <w:t xml:space="preserve">3.2.2 متطلبات الأمان</w:t>
      </w:r>
      <w:bookmarkEnd w:id="100019"/>
    </w:p>
    <w:p>
      <w:pPr>
        <w:spacing w:after="160" w:line="360"/>
        <w:ind w:firstLine="480"/>
        <w:jc w:val="both"/>
      </w:pPr>
      <w:r>
        <w:rPr>
          <w:rFonts w:ascii="Cairo" w:eastAsia="Cairo"/>
          <w:color w:val="1a1a2e"/>
          <w:sz w:val="24"/>
          <w:szCs w:val="24"/>
        </w:rPr>
        <w:t xml:space="preserve">يجب تشفير كلمات المرور باستخدام خوارزمية bcrypt مع salt فريد. يجب تخزين قاعدة البيانات في مسار آمن داخل AppData مع صلاحيات وصول مقيدة. يجب توفير آلية نسخ احتياطي مشفر اختيارياً. يجب تسجيل جميع العمليات الحساسة في سجل تدقيق (Audit Log). يجب القفل التلقائي بعد فترة خامل قابلة للتعديل.</w:t>
      </w:r>
    </w:p>
    <w:p>
      <w:pPr>
        <w:pStyle w:val="Heading3"/>
        <w:spacing w:after="120" w:before="240" w:line="320"/>
        <w:jc w:val="right"/>
      </w:pPr>
      <w:bookmarkStart w:id="100020" w:name="_Toc100020"/>
      <w:r>
        <w:rPr>
          <w:rFonts w:ascii="Cairo" w:eastAsia="Cairo"/>
          <w:b/>
          <w:bCs/>
          <w:color w:val="1a1a2e"/>
          <w:sz w:val="26"/>
          <w:szCs w:val="26"/>
        </w:rPr>
        <w:t xml:space="preserve">3.2.3 متطلبات قابلية الاستخدام</w:t>
      </w:r>
      <w:bookmarkEnd w:id="100020"/>
    </w:p>
    <w:p>
      <w:pPr>
        <w:spacing w:after="160" w:line="360"/>
        <w:ind w:firstLine="480"/>
        <w:jc w:val="both"/>
      </w:pPr>
      <w:r>
        <w:rPr>
          <w:rFonts w:ascii="Cairo" w:eastAsia="Cairo"/>
          <w:color w:val="1a1a2e"/>
          <w:sz w:val="24"/>
          <w:szCs w:val="24"/>
        </w:rPr>
        <w:t xml:space="preserve">يجب أن يكون التطبيق قابلاً للتعلم من قبل مستخدم لديه خبرة محاسبية أساسية خلال ساعتين فقط. يجب اتباع معايير إمكانية الوصول (Accessibility) WCAG 2.1 المستوى AA. يجب توفير مساعدة سياقية (Tooltips) لجميع الحقول والعناصر. يجب دعم لوحة المفاتيح للتنقل السريع (Keyboard shortcuts).</w:t>
      </w:r>
    </w:p>
    <w:p>
      <w:pPr>
        <w:pStyle w:val="Heading2"/>
        <w:spacing w:after="150" w:before="300" w:line="340"/>
        <w:jc w:val="right"/>
      </w:pPr>
      <w:bookmarkStart w:id="100021" w:name="_Toc100021"/>
      <w:r>
        <w:rPr>
          <w:rFonts w:ascii="Cairo" w:eastAsia="Cairo"/>
          <w:b/>
          <w:bCs/>
          <w:color w:val="0a9396"/>
          <w:sz w:val="30"/>
          <w:szCs w:val="30"/>
        </w:rPr>
        <w:t xml:space="preserve">3.3 القيود التقنية</w:t>
      </w:r>
      <w:bookmarkEnd w:id="100021"/>
    </w:p>
    <w:p>
      <w:pPr>
        <w:spacing w:after="160" w:line="360"/>
        <w:ind w:firstLine="480"/>
        <w:jc w:val="both"/>
      </w:pPr>
      <w:r>
        <w:rPr>
          <w:rFonts w:ascii="Cairo" w:eastAsia="Cairo"/>
          <w:color w:val="1a1a2e"/>
          <w:sz w:val="24"/>
          <w:szCs w:val="24"/>
        </w:rPr>
        <w:t xml:space="preserve">يواجه المشروع عدة قيود تقنية يجب مراعاتها. قيود المنصة: التطبيق مخصص لنظام Windows 10/11 فقط في النسخة الأولى. قيود قاعدة البيانات: SQLite لا يدعم المستخدمين المتزامنين بشكل أصيل مما يستلزم آليات قفل خاصة. قيود الأداء: Electron يحمل حجم التثبيت (~150MB) أكبر من التطبيقات Native. قيود التحديث: يتطلب تحديث التطبيق إعادة التثبيت أو استخدام electron-updater.</w:t>
      </w:r>
    </w:p>
    <w:p>
      <w:pPr>
        <w:pStyle w:val="Heading1"/>
        <w:spacing w:after="200" w:before="400" w:line="360"/>
        <w:jc w:val="right"/>
      </w:pPr>
      <w:bookmarkStart w:id="100022" w:name="_Toc100022"/>
      <w:r>
        <w:rPr>
          <w:rFonts w:ascii="Cairo" w:eastAsia="Cairo"/>
          <w:b/>
          <w:bCs/>
          <w:color w:val="005f73"/>
          <w:sz w:val="36"/>
          <w:szCs w:val="36"/>
        </w:rPr>
        <w:t xml:space="preserve">4. التقنيات والهندسة المعمارية (Tech Stack &amp; Architecture)</w:t>
      </w:r>
      <w:bookmarkEnd w:id="100022"/>
    </w:p>
    <w:p>
      <w:pPr>
        <w:pStyle w:val="Heading2"/>
        <w:spacing w:after="150" w:before="300" w:line="340"/>
        <w:jc w:val="right"/>
      </w:pPr>
      <w:bookmarkStart w:id="100023" w:name="_Toc100023"/>
      <w:r>
        <w:rPr>
          <w:rFonts w:ascii="Cairo" w:eastAsia="Cairo"/>
          <w:b/>
          <w:bCs/>
          <w:color w:val="0a9396"/>
          <w:sz w:val="30"/>
          <w:szCs w:val="30"/>
        </w:rPr>
        <w:t xml:space="preserve">4.1 نظرة عامة على البنية التقنية</w:t>
      </w:r>
      <w:bookmarkEnd w:id="100023"/>
    </w:p>
    <w:p>
      <w:pPr>
        <w:spacing w:after="160" w:line="360"/>
        <w:ind w:firstLine="480"/>
        <w:jc w:val="both"/>
      </w:pPr>
      <w:r>
        <w:rPr>
          <w:rFonts w:ascii="Cairo" w:eastAsia="Cairo"/>
          <w:color w:val="1a1a2e"/>
          <w:sz w:val="24"/>
          <w:szCs w:val="24"/>
        </w:rPr>
        <w:t xml:space="preserve">يعتمد Accounting Pro على بنية تقنية حديثة تجمع بين قوة تطبيقات الويب ومزايا برامج سطح المكتب. تتكون البنية من ثلاث طبقات رئيسية: طبقة العرض (Presentation Layer) مبنية بـ React.js مع TailwindCSS للتنسيق، طبقة منطق الأعمال (Business Logic Layer) مبنية بـ Node.js/Express داخل بيئة Electron، وطبقة البيانات (Data Layer) باستخدام SQLite كقاعدة بيانات محلية مع Sequelize كـ ORM.</w:t>
      </w:r>
    </w:p>
    <w:p>
      <w:pPr>
        <w:pStyle w:val="Heading2"/>
        <w:spacing w:after="150" w:before="300" w:line="340"/>
        <w:jc w:val="right"/>
      </w:pPr>
      <w:bookmarkStart w:id="100024" w:name="_Toc100024"/>
      <w:r>
        <w:rPr>
          <w:rFonts w:ascii="Cairo" w:eastAsia="Cairo"/>
          <w:b/>
          <w:bCs/>
          <w:color w:val="0a9396"/>
          <w:sz w:val="30"/>
          <w:szCs w:val="30"/>
        </w:rPr>
        <w:t xml:space="preserve">4.2 الواجهة الأمامية (Frontend Stack)</w:t>
      </w:r>
      <w:bookmarkEnd w:id="100024"/>
    </w:p>
    <w:p>
      <w:pPr>
        <w:pStyle w:val="Heading3"/>
        <w:spacing w:after="120" w:before="240" w:line="320"/>
        <w:jc w:val="right"/>
      </w:pPr>
      <w:bookmarkStart w:id="100025" w:name="_Toc100025"/>
      <w:r>
        <w:rPr>
          <w:rFonts w:ascii="Cairo" w:eastAsia="Cairo"/>
          <w:b/>
          <w:bCs/>
          <w:color w:val="1a1a2e"/>
          <w:sz w:val="26"/>
          <w:szCs w:val="26"/>
        </w:rPr>
        <w:t xml:space="preserve">4.2.1 React.js مع Vite</w:t>
      </w:r>
      <w:bookmarkEnd w:id="100025"/>
    </w:p>
    <w:p>
      <w:pPr>
        <w:spacing w:after="160" w:line="360"/>
        <w:ind w:firstLine="480"/>
        <w:jc w:val="both"/>
      </w:pPr>
      <w:r>
        <w:rPr>
          <w:rFonts w:ascii="Cairo" w:eastAsia="Cairo"/>
          <w:color w:val="1a1a2e"/>
          <w:sz w:val="24"/>
          <w:szCs w:val="24"/>
        </w:rPr>
        <w:t xml:space="preserve">React.js هو اختيارنا الأساسي لبناء واجهة المستخدم لعدة أسباب وجيهة. أولاً، نظام Component القوي يسمح بإعادة استخدام العناصر وبناء وحدات واجهة مستخدم قابلة للصيانة. ثانياً، Virtual DOM يوفر أداء ممتازاً للتطبيقات التفاعلية المعقدة. ثالثاً، النظام البيئي الضخم والمكتبات الجاهزة يسرع من عملية التطوير. رابعاً، JSX يسهل كتابة قوالب الواجهة بطريقة تصريحية واضحة.</w:t>
      </w:r>
    </w:p>
    <w:p>
      <w:pPr>
        <w:spacing w:after="160" w:line="360"/>
        <w:ind w:firstLine="480"/>
        <w:jc w:val="both"/>
      </w:pPr>
      <w:r>
        <w:rPr>
          <w:rFonts w:ascii="Cairo" w:eastAsia="Cairo"/>
          <w:color w:val="1a1a2e"/>
          <w:sz w:val="24"/>
          <w:szCs w:val="24"/>
        </w:rPr>
        <w:t xml:space="preserve">Vite كبديل CRA (Create React App) يوفر تجربة تطوير فائقة السرعة بفضل Hot Module Replacement (HMR) الفوري، وحجم بناء (Build Size) أصغر بفضل تحسينات Rollup الأصلية، ودعم TypeScript الممتاز خارج الصندوق.</w:t>
      </w:r>
    </w:p>
    <w:p>
      <w:pPr>
        <w:pStyle w:val="Heading3"/>
        <w:spacing w:after="120" w:before="240" w:line="320"/>
        <w:jc w:val="right"/>
      </w:pPr>
      <w:bookmarkStart w:id="100026" w:name="_Toc100026"/>
      <w:r>
        <w:rPr>
          <w:rFonts w:ascii="Cairo" w:eastAsia="Cairo"/>
          <w:b/>
          <w:bCs/>
          <w:color w:val="1a1a2e"/>
          <w:sz w:val="26"/>
          <w:szCs w:val="26"/>
        </w:rPr>
        <w:t xml:space="preserve">4.2.2 TailwindCSS للتنسيق</w:t>
      </w:r>
      <w:bookmarkEnd w:id="100026"/>
    </w:p>
    <w:p>
      <w:pPr>
        <w:spacing w:after="160" w:line="360"/>
        <w:ind w:firstLine="480"/>
        <w:jc w:val="both"/>
      </w:pPr>
      <w:r>
        <w:rPr>
          <w:rFonts w:ascii="Cairo" w:eastAsia="Cairo"/>
          <w:color w:val="1a1a2e"/>
          <w:sz w:val="24"/>
          <w:szCs w:val="24"/>
        </w:rPr>
        <w:t xml:space="preserve">TailwindCSS هو إطار عمل CSS Utility-first يتناسب تماماً مع متطلبات مشروعنا. يوفر فئات جاهزة لـ RTL عبر plugin خاص، تصميم متجاوب بسهولة، تخصيص كامل للألوان والخطوط بما يتبع design system الخاص بنا، وحجم CSS نهائي صغير بفضل PurgeCSS المدمج.</w:t>
      </w:r>
    </w:p>
    <w:p>
      <w:pPr>
        <w:pStyle w:val="Heading2"/>
        <w:spacing w:after="150" w:before="300" w:line="340"/>
        <w:jc w:val="right"/>
      </w:pPr>
      <w:bookmarkStart w:id="100027" w:name="_Toc100027"/>
      <w:r>
        <w:rPr>
          <w:rFonts w:ascii="Cairo" w:eastAsia="Cairo"/>
          <w:b/>
          <w:bCs/>
          <w:color w:val="0a9396"/>
          <w:sz w:val="30"/>
          <w:szCs w:val="30"/>
        </w:rPr>
        <w:t xml:space="preserve">4.3 الخلفية والطبقة الوسطى (Backend &amp; Middleware)</w:t>
      </w:r>
      <w:bookmarkEnd w:id="100027"/>
    </w:p>
    <w:p>
      <w:pPr>
        <w:pStyle w:val="Heading3"/>
        <w:spacing w:after="120" w:before="240" w:line="320"/>
        <w:jc w:val="right"/>
      </w:pPr>
      <w:bookmarkStart w:id="100028" w:name="_Toc100028"/>
      <w:r>
        <w:rPr>
          <w:rFonts w:ascii="Cairo" w:eastAsia="Cairo"/>
          <w:b/>
          <w:bCs/>
          <w:color w:val="1a1a2e"/>
          <w:sz w:val="26"/>
          <w:szCs w:val="26"/>
        </w:rPr>
        <w:t xml:space="preserve">4.3.1 Electron.js</w:t>
      </w:r>
      <w:bookmarkEnd w:id="100028"/>
    </w:p>
    <w:p>
      <w:pPr>
        <w:spacing w:after="160" w:line="360"/>
        <w:ind w:firstLine="480"/>
        <w:jc w:val="both"/>
      </w:pPr>
      <w:r>
        <w:rPr>
          <w:rFonts w:ascii="Cairo" w:eastAsia="Cairo"/>
          <w:color w:val="1a1a2e"/>
          <w:sz w:val="24"/>
          <w:szCs w:val="24"/>
        </w:rPr>
        <w:t xml:space="preserve">Electron هو الإطار الذي يحول تطبيق الويب إلى تطبيق سطح مكتب. يوفر: وصولاً كاملاً APIs نظام التشغيل (نظام الملفات، الحافظة، الإشعارات)، نافذة متصفح Chromium مدمجة لعرض الواجهة، بيئة Node.js كاملة للعمليات الخلفية، ونظام تغليف جاهز لجميع المنصات.</w:t>
      </w:r>
    </w:p>
    <w:p>
      <w:pPr>
        <w:pStyle w:val="Heading3"/>
        <w:spacing w:after="120" w:before="240" w:line="320"/>
        <w:jc w:val="right"/>
      </w:pPr>
      <w:bookmarkStart w:id="100029" w:name="_Toc100029"/>
      <w:r>
        <w:rPr>
          <w:rFonts w:ascii="Cairo" w:eastAsia="Cairo"/>
          <w:b/>
          <w:bCs/>
          <w:color w:val="1a1a2e"/>
          <w:sz w:val="26"/>
          <w:szCs w:val="26"/>
        </w:rPr>
        <w:t xml:space="preserve">4.3.2 Express.js APIs</w:t>
      </w:r>
      <w:bookmarkEnd w:id="100029"/>
    </w:p>
    <w:p>
      <w:pPr>
        <w:spacing w:after="160" w:line="360"/>
        <w:ind w:firstLine="480"/>
        <w:jc w:val="both"/>
      </w:pPr>
      <w:r>
        <w:rPr>
          <w:rFonts w:ascii="Cairo" w:eastAsia="Cairo"/>
          <w:color w:val="1a1a2e"/>
          <w:sz w:val="24"/>
          <w:szCs w:val="24"/>
        </w:rPr>
        <w:t xml:space="preserve">Express.js يعمل كخادم HTTP محلي داخل Electron، يوفر نقاط نهاية (Endpoints) للتواصل بين الواجهة وقاعدة البيانات. هذا النمط (Pattern) يسمح بفصل واضح بين المسؤوليات ويجهز التطبيق مستقبلاً للتحويل إلى معمارية client-server إذا لزم الأمر.</w:t>
      </w:r>
    </w:p>
    <w:p>
      <w:pPr>
        <w:pStyle w:val="Heading2"/>
        <w:spacing w:after="150" w:before="300" w:line="340"/>
        <w:jc w:val="right"/>
      </w:pPr>
      <w:bookmarkStart w:id="100030" w:name="_Toc100030"/>
      <w:r>
        <w:rPr>
          <w:rFonts w:ascii="Cairo" w:eastAsia="Cairo"/>
          <w:b/>
          <w:bCs/>
          <w:color w:val="0a9396"/>
          <w:sz w:val="30"/>
          <w:szCs w:val="30"/>
        </w:rPr>
        <w:t xml:space="preserve">4.4 قاعدة البيانات (Database Layer)</w:t>
      </w:r>
      <w:bookmarkEnd w:id="100030"/>
    </w:p>
    <w:p>
      <w:pPr>
        <w:pStyle w:val="Heading3"/>
        <w:spacing w:after="120" w:before="240" w:line="320"/>
        <w:jc w:val="right"/>
      </w:pPr>
      <w:bookmarkStart w:id="100031" w:name="_Toc100031"/>
      <w:r>
        <w:rPr>
          <w:rFonts w:ascii="Cairo" w:eastAsia="Cairo"/>
          <w:b/>
          <w:bCs/>
          <w:color w:val="1a1a2e"/>
          <w:sz w:val="26"/>
          <w:szCs w:val="26"/>
        </w:rPr>
        <w:t xml:space="preserve">4.4.1 SQLite</w:t>
      </w:r>
      <w:bookmarkEnd w:id="100031"/>
    </w:p>
    <w:p>
      <w:pPr>
        <w:spacing w:after="160" w:line="360"/>
        <w:ind w:firstLine="480"/>
        <w:jc w:val="both"/>
      </w:pPr>
      <w:r>
        <w:rPr>
          <w:rFonts w:ascii="Cairo" w:eastAsia="Cairo"/>
          <w:color w:val="1a1a2e"/>
          <w:sz w:val="24"/>
          <w:szCs w:val="24"/>
        </w:rPr>
        <w:t xml:space="preserve">SQLite هو الاختيار الأمثل لتطبيق سطح مكتب محاسبي لعدة أسباب تقنية وعملية. يعمل بدون خادم منفصل (Serverless) مما يبسط النشر. ملف قاعدة بيانات واحد سهل النسخ الاحتياطي والنقل. أداء ممتاز للقراءة (fast reads) وهو ما تحتاجه التقارير. حجم صغير (&lt;2MB) لا يثقل حزمة التثبيت. دعم SQL قياسي يسهل الهجرة مستقبلاً.</w:t>
      </w:r>
    </w:p>
    <w:p>
      <w:pPr>
        <w:pStyle w:val="Heading3"/>
        <w:spacing w:after="120" w:before="240" w:line="320"/>
        <w:jc w:val="right"/>
      </w:pPr>
      <w:bookmarkStart w:id="100032" w:name="_Toc100032"/>
      <w:r>
        <w:rPr>
          <w:rFonts w:ascii="Cairo" w:eastAsia="Cairo"/>
          <w:b/>
          <w:bCs/>
          <w:color w:val="1a1a2e"/>
          <w:sz w:val="26"/>
          <w:szCs w:val="26"/>
        </w:rPr>
        <w:t xml:space="preserve">4.4.2 Sequelize ORM</w:t>
      </w:r>
      <w:bookmarkEnd w:id="100032"/>
    </w:p>
    <w:p>
      <w:pPr>
        <w:spacing w:after="160" w:line="360"/>
        <w:ind w:firstLine="480"/>
        <w:jc w:val="both"/>
      </w:pPr>
      <w:r>
        <w:rPr>
          <w:rFonts w:ascii="Cairo" w:eastAsia="Cairo"/>
          <w:color w:val="1a1a2e"/>
          <w:sz w:val="24"/>
          <w:szCs w:val="24"/>
        </w:rPr>
        <w:t xml:space="preserve">Sequelize يبسط التعامل مع قاعدة البيانات من خلال: تعريف Models بوضوح باستخدام JavaScript/TypeScript، علاقات (Relations) جاهزة (hasOne, hasMany, belongsToMany)، migrations لإدارة تغييرات schema، وvalidations مدمجة على مستوى Model.</w:t>
      </w:r>
    </w:p>
    <w:p>
      <w:pPr>
        <w:pStyle w:val="Heading2"/>
        <w:spacing w:after="150" w:before="300" w:line="340"/>
        <w:jc w:val="right"/>
      </w:pPr>
      <w:bookmarkStart w:id="100033" w:name="_Toc100033"/>
      <w:r>
        <w:rPr>
          <w:rFonts w:ascii="Cairo" w:eastAsia="Cairo"/>
          <w:b/>
          <w:bCs/>
          <w:color w:val="0a9396"/>
          <w:sz w:val="30"/>
          <w:szCs w:val="30"/>
        </w:rPr>
        <w:t xml:space="preserve">4.5 جدول المقارنة التقنية</w:t>
      </w:r>
      <w:bookmarkEnd w:id="100033"/>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المكون</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التقنية المختارة</w:t>
            </w:r>
          </w:p>
        </w:tc>
        <w:tc>
          <w:tcPr>
            <w:tcW w:type="pct" w:w="2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البديلات المدروسة</w:t>
            </w:r>
          </w:p>
        </w:tc>
        <w:tc>
          <w:tcPr>
            <w:tcW w:type="pct" w:w="28%"/>
            <w:shd w:fill="005f73" w:val="clear"/>
            <w:tcMar>
              <w:top w:type="dxa" w:w="80"/>
              <w:left w:type="dxa" w:w="120"/>
              <w:bottom w:type="dxa" w:w="80"/>
              <w:right w:type="dxa" w:w="120"/>
            </w:tcMar>
          </w:tcPr>
          <w:p>
            <w:pPr>
              <w:jc w:val="center"/>
            </w:pPr>
            <w:r>
              <w:rPr>
                <w:rFonts w:ascii="Cairo" w:eastAsia="Cairo"/>
                <w:b/>
                <w:bCs/>
                <w:color w:val="FFFFFF"/>
                <w:sz w:val="22"/>
                <w:szCs w:val="22"/>
              </w:rPr>
              <w:t xml:space="preserve">سبب الاختيار</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UI Framework</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React.js</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Vue.js, Angular</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نظام بيئي أكبر، توظيف أسهل</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Build Tool</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Vite</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Webpack, Parcel</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سرعة HMR فائقة، إعداد أبسط</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CSS Framework</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TailwindCSS</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Material UI, Ant Design</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تخصيص كامل، RTL أصيل</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Desktop</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Electron.js</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Tauri, NW.js</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نضج أعلى، مجتمع أكبر</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Backend API</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Express.js</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Fastify, Koa</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بساطة، توثيق شامل</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ORM</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Sequelize</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Knex.js, Prisma</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migrations جاهزة، علاقات أوضح</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Database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SQLite</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PostgreSQL, MySQL</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محلي، بدون setup، نسخ سهل</w:t>
            </w:r>
          </w:p>
        </w:tc>
      </w:tr>
    </w:tbl>
    <w:p>
      <w:pPr>
        <w:pStyle w:val="Heading1"/>
        <w:spacing w:after="200" w:before="400" w:line="360"/>
        <w:jc w:val="right"/>
      </w:pPr>
      <w:bookmarkStart w:id="100034" w:name="_Toc100034"/>
      <w:r>
        <w:rPr>
          <w:rFonts w:ascii="Cairo" w:eastAsia="Cairo"/>
          <w:b/>
          <w:bCs/>
          <w:color w:val="005f73"/>
          <w:sz w:val="36"/>
          <w:szCs w:val="36"/>
        </w:rPr>
        <w:t xml:space="preserve">5. هيكل قاعدة البيانات (Database Schema)</w:t>
      </w:r>
      <w:bookmarkEnd w:id="100034"/>
    </w:p>
    <w:p>
      <w:pPr>
        <w:pStyle w:val="Heading2"/>
        <w:spacing w:after="150" w:before="300" w:line="340"/>
        <w:jc w:val="right"/>
      </w:pPr>
      <w:bookmarkStart w:id="100035" w:name="_Toc100035"/>
      <w:r>
        <w:rPr>
          <w:rFonts w:ascii="Cairo" w:eastAsia="Cairo"/>
          <w:b/>
          <w:bCs/>
          <w:color w:val="0a9396"/>
          <w:sz w:val="30"/>
          <w:szCs w:val="30"/>
        </w:rPr>
        <w:t xml:space="preserve">5.1 نظرة عامة على التصميم</w:t>
      </w:r>
      <w:bookmarkEnd w:id="100035"/>
    </w:p>
    <w:p>
      <w:pPr>
        <w:spacing w:after="160" w:line="360"/>
        <w:ind w:firstLine="480"/>
        <w:jc w:val="both"/>
      </w:pPr>
      <w:r>
        <w:rPr>
          <w:rFonts w:ascii="Cairo" w:eastAsia="Cairo"/>
          <w:color w:val="1a1a2e"/>
          <w:sz w:val="24"/>
          <w:szCs w:val="24"/>
        </w:rPr>
        <w:t xml:space="preserve">تتكون قاعدة بيانات Accounting Pro من 10 جداول رئيسية مترابطة بعلاقات منطقية تخدم العمليات المحاسبية. يتبع التصميم مبادئ Normalization لتجنب تكرار البيانات مع الحفاظ على أداء الاستعلامات المطلوبة للتقارير. جميع الجداول تستخدم مفتاح أساسي auto-increment ID مع حقول timestamps لتتبع الإنشاء والتعديل.</w:t>
      </w:r>
    </w:p>
    <w:p>
      <w:pPr>
        <w:pStyle w:val="Heading2"/>
        <w:spacing w:after="150" w:before="300" w:line="340"/>
        <w:jc w:val="right"/>
      </w:pPr>
      <w:bookmarkStart w:id="100036" w:name="_Toc100036"/>
      <w:r>
        <w:rPr>
          <w:rFonts w:ascii="Cairo" w:eastAsia="Cairo"/>
          <w:b/>
          <w:bCs/>
          <w:color w:val="0a9396"/>
          <w:sz w:val="30"/>
          <w:szCs w:val="30"/>
        </w:rPr>
        <w:t xml:space="preserve">5.2 جدول الإعدادات (settings)</w:t>
      </w:r>
      <w:bookmarkEnd w:id="100036"/>
    </w:p>
    <w:p>
      <w:pPr>
        <w:spacing w:after="160" w:line="360"/>
        <w:ind w:firstLine="480"/>
        <w:jc w:val="both"/>
      </w:pPr>
      <w:r>
        <w:rPr>
          <w:rFonts w:ascii="Cairo" w:eastAsia="Cairo"/>
          <w:color w:val="1a1a2e"/>
          <w:sz w:val="24"/>
          <w:szCs w:val="24"/>
        </w:rPr>
        <w:t xml:space="preserve">يخزن هذا الجدول الإعدادات العامة للتطبيق وبيانات الشركة. يحتوي على سجل واحد فقط (singleton pattern) يتم تحديثه عند تعديل أي إعداد.</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company_name</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اسم الشركة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logo_path</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مسار ملف الشعار</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address</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عنوان الشركة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phone</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رقم الهاتف</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email</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البريد الإلكتروني</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currency</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العملة الافتراضية</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sales_prefix</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بادئة فواتير المبيعات</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purchases_prefix</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بادئة فواتير المشتريات</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backup_path</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مسار حفظ النسخ الاحتياطي</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created_at</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DATETIME</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تاريخ الإنشاء</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updated_at</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DATETIME</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تاريخ آخر تعديل</w:t>
            </w:r>
          </w:p>
        </w:tc>
      </w:tr>
    </w:tbl>
    <w:p>
      <w:pPr>
        <w:pStyle w:val="Heading2"/>
        <w:spacing w:after="150" w:before="300" w:line="340"/>
        <w:jc w:val="right"/>
      </w:pPr>
      <w:bookmarkStart w:id="100037" w:name="_Toc100037"/>
      <w:r>
        <w:rPr>
          <w:rFonts w:ascii="Cairo" w:eastAsia="Cairo"/>
          <w:b/>
          <w:bCs/>
          <w:color w:val="0a9396"/>
          <w:sz w:val="30"/>
          <w:szCs w:val="30"/>
        </w:rPr>
        <w:t xml:space="preserve">5.3 جدول المستخدمين (users)</w:t>
      </w:r>
      <w:bookmarkEnd w:id="100037"/>
    </w:p>
    <w:p>
      <w:pPr>
        <w:spacing w:after="160" w:line="360"/>
        <w:ind w:firstLine="480"/>
        <w:jc w:val="both"/>
      </w:pPr>
      <w:r>
        <w:rPr>
          <w:rFonts w:ascii="Cairo" w:eastAsia="Cairo"/>
          <w:color w:val="1a1a2e"/>
          <w:sz w:val="24"/>
          <w:szCs w:val="24"/>
        </w:rPr>
        <w:t xml:space="preserve">يدير هذا الجدول حسابات المستخدمين وصلاحياتهم في النظام. يدعم مستويات صلاحيات متعددة (Admin, Accountant, Viewer).</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username</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 UNIQUE</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اسم المستخدم للدخول</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password_hash</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كلمة المرور المشفرة (bcrypt)</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full_name</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الاسم الكامل للمستخدم</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role</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الدور (admin/accountant/viewer)</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is_active</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BOOLEAN</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حالة تفعيل الحساب</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last_login</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DATETIME</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آخر تسجيل دخول</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created_at</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DATETIME</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تاريخ الإنشاء</w:t>
            </w:r>
          </w:p>
        </w:tc>
      </w:tr>
    </w:tbl>
    <w:p>
      <w:pPr>
        <w:pStyle w:val="Heading2"/>
        <w:spacing w:after="150" w:before="300" w:line="340"/>
        <w:jc w:val="right"/>
      </w:pPr>
      <w:bookmarkStart w:id="100038" w:name="_Toc100038"/>
      <w:r>
        <w:rPr>
          <w:rFonts w:ascii="Cairo" w:eastAsia="Cairo"/>
          <w:b/>
          <w:bCs/>
          <w:color w:val="0a9396"/>
          <w:sz w:val="30"/>
          <w:szCs w:val="30"/>
        </w:rPr>
        <w:t xml:space="preserve">5.4 جدول المخازن (warehouses)</w:t>
      </w:r>
      <w:bookmarkEnd w:id="100038"/>
    </w:p>
    <w:p>
      <w:pPr>
        <w:spacing w:after="160" w:line="360"/>
        <w:ind w:firstLine="480"/>
        <w:jc w:val="both"/>
      </w:pPr>
      <w:r>
        <w:rPr>
          <w:rFonts w:ascii="Cairo" w:eastAsia="Cairo"/>
          <w:color w:val="1a1a2e"/>
          <w:sz w:val="24"/>
          <w:szCs w:val="24"/>
        </w:rPr>
        <w:t xml:space="preserve">يُعرّف هذا الجداول المخازن المختلفة التي يمكن تخزين الأصناف فيها. يدعم تعدد المخازن لتقسيم المخزون جغرافياً أو وظيفياً.</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name</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اسم المخزن</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address</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عنوان المخزن</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notes</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ملاحظات إضافية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is_active</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BOOLEAN</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حالة تفعيل المخزن</w:t>
            </w:r>
          </w:p>
        </w:tc>
      </w:tr>
    </w:tbl>
    <w:p>
      <w:pPr>
        <w:pStyle w:val="Heading2"/>
        <w:spacing w:after="150" w:before="300" w:line="340"/>
        <w:jc w:val="right"/>
      </w:pPr>
      <w:bookmarkStart w:id="100039" w:name="_Toc100039"/>
      <w:r>
        <w:rPr>
          <w:rFonts w:ascii="Cairo" w:eastAsia="Cairo"/>
          <w:b/>
          <w:bCs/>
          <w:color w:val="0a9396"/>
          <w:sz w:val="30"/>
          <w:szCs w:val="30"/>
        </w:rPr>
        <w:t xml:space="preserve">5.5 جدول التصنيفات (categories)</w:t>
      </w:r>
      <w:bookmarkEnd w:id="100039"/>
    </w:p>
    <w:p>
      <w:pPr>
        <w:spacing w:after="160" w:line="360"/>
        <w:ind w:firstLine="480"/>
        <w:jc w:val="both"/>
      </w:pPr>
      <w:r>
        <w:rPr>
          <w:rFonts w:ascii="Cairo" w:eastAsia="Cairo"/>
          <w:color w:val="1a1a2e"/>
          <w:sz w:val="24"/>
          <w:szCs w:val="24"/>
        </w:rPr>
        <w:t xml:space="preserve">يُنظم هذا الجداول الأصناف في مجموعات هرمية لتسهيل البحث والإدارة. يدعم تصنيفات متعددة المستويات (Parent-Child relationship).</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4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45%"/>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name</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45%"/>
            <w:shd w:fill="f8f9fa" w:val="clear"/>
            <w:tcMar>
              <w:top w:type="dxa" w:w="60"/>
              <w:left w:type="dxa" w:w="100"/>
              <w:bottom w:type="dxa" w:w="60"/>
              <w:right w:type="dxa" w:w="100"/>
            </w:tcMar>
          </w:tcPr>
          <w:p>
            <w:pPr>
              <w:jc w:val="right"/>
            </w:pPr>
            <w:r>
              <w:rPr>
                <w:rFonts w:ascii="Cairo" w:eastAsia="Cairo"/>
                <w:color w:val="1a1a2e"/>
                <w:sz w:val="21"/>
                <w:szCs w:val="21"/>
              </w:rPr>
              <w:t xml:space="preserve">اسم التصنيف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parent_id</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45%"/>
            <w:shd w:fill="FFFFFF" w:val="clear"/>
            <w:tcMar>
              <w:top w:type="dxa" w:w="60"/>
              <w:left w:type="dxa" w:w="100"/>
              <w:bottom w:type="dxa" w:w="60"/>
              <w:right w:type="dxa" w:w="100"/>
            </w:tcMar>
          </w:tcPr>
          <w:p>
            <w:pPr>
              <w:jc w:val="right"/>
            </w:pPr>
            <w:r>
              <w:rPr>
                <w:rFonts w:ascii="Cairo" w:eastAsia="Cairo"/>
                <w:color w:val="1a1a2e"/>
                <w:sz w:val="21"/>
                <w:szCs w:val="21"/>
              </w:rPr>
              <w:t xml:space="preserve">التصنيف الأب (NULL للأساسي)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is_active</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BOOLEAN</w:t>
            </w:r>
          </w:p>
        </w:tc>
        <w:tc>
          <w:tcPr>
            <w:tcW w:type="pct" w:w="45%"/>
            <w:shd w:fill="f8f9fa" w:val="clear"/>
            <w:tcMar>
              <w:top w:type="dxa" w:w="60"/>
              <w:left w:type="dxa" w:w="100"/>
              <w:bottom w:type="dxa" w:w="60"/>
              <w:right w:type="dxa" w:w="100"/>
            </w:tcMar>
          </w:tcPr>
          <w:p>
            <w:pPr>
              <w:jc w:val="right"/>
            </w:pPr>
            <w:r>
              <w:rPr>
                <w:rFonts w:ascii="Cairo" w:eastAsia="Cairo"/>
                <w:color w:val="1a1a2e"/>
                <w:sz w:val="21"/>
                <w:szCs w:val="21"/>
              </w:rPr>
              <w:t xml:space="preserve">حالة التفعيل</w:t>
            </w:r>
          </w:p>
        </w:tc>
      </w:tr>
    </w:tbl>
    <w:p>
      <w:pPr>
        <w:pStyle w:val="Heading2"/>
        <w:spacing w:after="150" w:before="300" w:line="340"/>
        <w:jc w:val="right"/>
      </w:pPr>
      <w:bookmarkStart w:id="100040" w:name="_Toc100040"/>
      <w:r>
        <w:rPr>
          <w:rFonts w:ascii="Cairo" w:eastAsia="Cairo"/>
          <w:b/>
          <w:bCs/>
          <w:color w:val="0a9396"/>
          <w:sz w:val="30"/>
          <w:szCs w:val="30"/>
        </w:rPr>
        <w:t xml:space="preserve">5.6 جدول الوحدات (units)</w:t>
      </w:r>
      <w:bookmarkEnd w:id="100040"/>
    </w:p>
    <w:p>
      <w:pPr>
        <w:spacing w:after="160" w:line="360"/>
        <w:ind w:firstLine="480"/>
        <w:jc w:val="both"/>
      </w:pPr>
      <w:r>
        <w:rPr>
          <w:rFonts w:ascii="Cairo" w:eastAsia="Cairo"/>
          <w:color w:val="1a1a2e"/>
          <w:sz w:val="24"/>
          <w:szCs w:val="24"/>
        </w:rPr>
        <w:t xml:space="preserve">يُعرّف وحدات القياس المستخدمة للأصناف (قطعة، كيلو، علبة، طرد...).</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3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4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35%"/>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name</w:t>
            </w:r>
          </w:p>
        </w:tc>
        <w:tc>
          <w:tcPr>
            <w:tcW w:type="pct" w:w="35%"/>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40%"/>
            <w:shd w:fill="f8f9fa" w:val="clear"/>
            <w:tcMar>
              <w:top w:type="dxa" w:w="60"/>
              <w:left w:type="dxa" w:w="100"/>
              <w:bottom w:type="dxa" w:w="60"/>
              <w:right w:type="dxa" w:w="100"/>
            </w:tcMar>
          </w:tcPr>
          <w:p>
            <w:pPr>
              <w:jc w:val="right"/>
            </w:pPr>
            <w:r>
              <w:rPr>
                <w:rFonts w:ascii="Cairo" w:eastAsia="Cairo"/>
                <w:color w:val="1a1a2e"/>
                <w:sz w:val="21"/>
                <w:szCs w:val="21"/>
              </w:rPr>
              <w:t xml:space="preserve">اسم الوحدة (例: قطعة)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abbreviation</w:t>
            </w:r>
          </w:p>
        </w:tc>
        <w:tc>
          <w:tcPr>
            <w:tcW w:type="pct" w:w="35%"/>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اختصار الوحدة (例: قط)</w:t>
            </w:r>
          </w:p>
        </w:tc>
      </w:tr>
    </w:tbl>
    <w:p>
      <w:pPr>
        <w:pStyle w:val="Heading2"/>
        <w:spacing w:after="150" w:before="300" w:line="340"/>
        <w:jc w:val="right"/>
      </w:pPr>
      <w:bookmarkStart w:id="100041" w:name="_Toc100041"/>
      <w:r>
        <w:rPr>
          <w:rFonts w:ascii="Cairo" w:eastAsia="Cairo"/>
          <w:b/>
          <w:bCs/>
          <w:color w:val="0a9396"/>
          <w:sz w:val="30"/>
          <w:szCs w:val="30"/>
        </w:rPr>
        <w:t xml:space="preserve">5.7 جدول الأصناف (items)</w:t>
      </w:r>
      <w:bookmarkEnd w:id="100041"/>
    </w:p>
    <w:p>
      <w:pPr>
        <w:spacing w:after="160" w:line="360"/>
        <w:ind w:firstLine="480"/>
        <w:jc w:val="both"/>
      </w:pPr>
      <w:r>
        <w:rPr>
          <w:rFonts w:ascii="Cairo" w:eastAsia="Cairo"/>
          <w:color w:val="1a1a2e"/>
          <w:sz w:val="24"/>
          <w:szCs w:val="24"/>
        </w:rPr>
        <w:t xml:space="preserve">الجدول الأساسي لتخزين بيانات الأصناف والمنتجات. يرتبط بالتصنيفات والوحدات والمخازن والموردين.</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code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 UNIQUE</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كود/باركود الصنف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name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اسم الصنف</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category_id</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التصنيف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unit_id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وحدة القياس</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warehouse_id</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المخزن الأساسي</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supplier_id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المورد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cost_price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سعر الشراء</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sale_price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سعر البيع</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opening_qty</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الكمية الافتتاحية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current_qty</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الكمية الحالية (محسوبة)</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min_stock</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حد الطلب الأدنى</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image_path</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مسار صورة الصنف</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is_active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BOOLEAN</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حالة تفعيل الصنف</w:t>
            </w:r>
          </w:p>
        </w:tc>
      </w:tr>
    </w:tbl>
    <w:p>
      <w:pPr>
        <w:pStyle w:val="Heading2"/>
        <w:spacing w:after="150" w:before="300" w:line="340"/>
        <w:jc w:val="right"/>
      </w:pPr>
      <w:bookmarkStart w:id="100042" w:name="_Toc100042"/>
      <w:r>
        <w:rPr>
          <w:rFonts w:ascii="Cairo" w:eastAsia="Cairo"/>
          <w:b/>
          <w:bCs/>
          <w:color w:val="0a9396"/>
          <w:sz w:val="30"/>
          <w:szCs w:val="30"/>
        </w:rPr>
        <w:t xml:space="preserve">5.8 جدول الأطراف (parties)</w:t>
      </w:r>
      <w:bookmarkEnd w:id="100042"/>
    </w:p>
    <w:p>
      <w:pPr>
        <w:spacing w:after="160" w:line="360"/>
        <w:ind w:firstLine="480"/>
        <w:jc w:val="both"/>
      </w:pPr>
      <w:r>
        <w:rPr>
          <w:rFonts w:ascii="Cairo" w:eastAsia="Cairo"/>
          <w:color w:val="1a1a2e"/>
          <w:sz w:val="24"/>
          <w:szCs w:val="24"/>
        </w:rPr>
        <w:t xml:space="preserve">يجمع هذا الجدول بيانات العملاء والموردين في جدول واحد مع تمييز النوع. يحتفظ برصيد كل طرف لسهولة المتابعة.</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type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النوع (client/supplier/both)</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code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 UNIQUE</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كود الطرف</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name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اسم الطرف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address</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العنوان</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phone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رقم الهاتف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email</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البريد الإلكتروني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tax_number</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الرقم الضريبي</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opening_balance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الرصيد الافتتاحي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current_balance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الرصيد الحالي (محسوب)</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credit_limit</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حد الائتمان</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notes</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ملاحظات</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is_active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BOOLEAN</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حالة التفعيل</w:t>
            </w:r>
          </w:p>
        </w:tc>
      </w:tr>
    </w:tbl>
    <w:p>
      <w:pPr>
        <w:pStyle w:val="Heading2"/>
        <w:spacing w:after="150" w:before="300" w:line="340"/>
        <w:jc w:val="right"/>
      </w:pPr>
      <w:bookmarkStart w:id="100043" w:name="_Toc100043"/>
      <w:r>
        <w:rPr>
          <w:rFonts w:ascii="Cairo" w:eastAsia="Cairo"/>
          <w:b/>
          <w:bCs/>
          <w:color w:val="0a9396"/>
          <w:sz w:val="30"/>
          <w:szCs w:val="30"/>
        </w:rPr>
        <w:t xml:space="preserve">5.9 جدول الفواتير (invoices)</w:t>
      </w:r>
      <w:bookmarkEnd w:id="100043"/>
    </w:p>
    <w:p>
      <w:pPr>
        <w:spacing w:after="160" w:line="360"/>
        <w:ind w:firstLine="480"/>
        <w:jc w:val="both"/>
      </w:pPr>
      <w:r>
        <w:rPr>
          <w:rFonts w:ascii="Cairo" w:eastAsia="Cairo"/>
          <w:color w:val="1a1a2e"/>
          <w:sz w:val="24"/>
          <w:szCs w:val="24"/>
        </w:rPr>
        <w:t xml:space="preserve">الجدول الرئيسي للفواتير بأنواعها الأربعة. يحتوي على الملخص المالي للفاتورة ويرتبط بالأصناف عبر جدول تفصيلي.</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type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النوع (sale/purchase/return)</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invoice_number</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 UNIQUE</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رقم الفاتورة</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date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DATE</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تاريخ الفاتورة</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party_id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العميل/المورد</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payment_method</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طريقة الدفع (cash/partial/credit)</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paid_amount</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المبلغ المدفوع</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remaining_amount</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المبلغ المتبقي</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subtotal</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المجموع الفرعي</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discount_value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قيمة الخصم</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discount_type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نوع الخصم (percentage/fixed)</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tax_rate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نسبة الضريبة</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tax_value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قيمة الضريبة</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total</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الإجمالي النهائي</w:t>
            </w:r>
          </w:p>
        </w:tc>
      </w:tr>
      <w:tr>
        <w:trPr>
          <w:cantSplit/>
        </w:trPr>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status</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0%"/>
            <w:shd w:fill="FFFFFF" w:val="clear"/>
            <w:tcMar>
              <w:top w:type="dxa" w:w="60"/>
              <w:left w:type="dxa" w:w="100"/>
              <w:bottom w:type="dxa" w:w="60"/>
              <w:right w:type="dxa" w:w="100"/>
            </w:tcMar>
          </w:tcPr>
          <w:p>
            <w:pPr>
              <w:jc w:val="right"/>
            </w:pPr>
            <w:r>
              <w:rPr>
                <w:rFonts w:ascii="Cairo" w:eastAsia="Cairo"/>
                <w:color w:val="1a1a2e"/>
                <w:sz w:val="21"/>
                <w:szCs w:val="21"/>
              </w:rPr>
              <w:t xml:space="preserve">الحالة (draft/posted/voided)</w:t>
            </w:r>
          </w:p>
        </w:tc>
      </w:tr>
      <w:tr>
        <w:trPr>
          <w:cantSplit/>
        </w:trPr>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created_by</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0%"/>
            <w:shd w:fill="f8f9fa" w:val="clear"/>
            <w:tcMar>
              <w:top w:type="dxa" w:w="60"/>
              <w:left w:type="dxa" w:w="100"/>
              <w:bottom w:type="dxa" w:w="60"/>
              <w:right w:type="dxa" w:w="100"/>
            </w:tcMar>
          </w:tcPr>
          <w:p>
            <w:pPr>
              <w:jc w:val="right"/>
            </w:pPr>
            <w:r>
              <w:rPr>
                <w:rFonts w:ascii="Cairo" w:eastAsia="Cairo"/>
                <w:color w:val="1a1a2e"/>
                <w:sz w:val="21"/>
                <w:szCs w:val="21"/>
              </w:rPr>
              <w:t xml:space="preserve">المستخدم المنشئ</w:t>
            </w:r>
          </w:p>
        </w:tc>
      </w:tr>
    </w:tbl>
    <w:p>
      <w:pPr>
        <w:pStyle w:val="Heading2"/>
        <w:spacing w:after="150" w:before="300" w:line="340"/>
        <w:jc w:val="right"/>
      </w:pPr>
      <w:bookmarkStart w:id="100044" w:name="_Toc100044"/>
      <w:r>
        <w:rPr>
          <w:rFonts w:ascii="Cairo" w:eastAsia="Cairo"/>
          <w:b/>
          <w:bCs/>
          <w:color w:val="0a9396"/>
          <w:sz w:val="30"/>
          <w:szCs w:val="30"/>
        </w:rPr>
        <w:t xml:space="preserve">5.10 جدول تفاصيل الفواتير (invoice_items)</w:t>
      </w:r>
      <w:bookmarkEnd w:id="100044"/>
    </w:p>
    <w:p>
      <w:pPr>
        <w:spacing w:after="160" w:line="360"/>
        <w:ind w:firstLine="480"/>
        <w:jc w:val="both"/>
      </w:pPr>
      <w:r>
        <w:rPr>
          <w:rFonts w:ascii="Cairo" w:eastAsia="Cairo"/>
          <w:color w:val="1a1a2e"/>
          <w:sz w:val="24"/>
          <w:szCs w:val="24"/>
        </w:rPr>
        <w:t xml:space="preserve">يخزن تفاصيل أصناف كل فاتورة. العلاقة many-to-one مع invoices و items.</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2%"/>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invoice_id</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2%"/>
            <w:shd w:fill="f8f9fa" w:val="clear"/>
            <w:tcMar>
              <w:top w:type="dxa" w:w="60"/>
              <w:left w:type="dxa" w:w="100"/>
              <w:bottom w:type="dxa" w:w="60"/>
              <w:right w:type="dxa" w:w="100"/>
            </w:tcMar>
          </w:tcPr>
          <w:p>
            <w:pPr>
              <w:jc w:val="right"/>
            </w:pPr>
            <w:r>
              <w:rPr>
                <w:rFonts w:ascii="Cairo" w:eastAsia="Cairo"/>
                <w:color w:val="1a1a2e"/>
                <w:sz w:val="21"/>
                <w:szCs w:val="21"/>
              </w:rPr>
              <w:t xml:space="preserve">الفاتورة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item_id</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2%"/>
            <w:shd w:fill="FFFFFF" w:val="clear"/>
            <w:tcMar>
              <w:top w:type="dxa" w:w="60"/>
              <w:left w:type="dxa" w:w="100"/>
              <w:bottom w:type="dxa" w:w="60"/>
              <w:right w:type="dxa" w:w="100"/>
            </w:tcMar>
          </w:tcPr>
          <w:p>
            <w:pPr>
              <w:jc w:val="right"/>
            </w:pPr>
            <w:r>
              <w:rPr>
                <w:rFonts w:ascii="Cairo" w:eastAsia="Cairo"/>
                <w:color w:val="1a1a2e"/>
                <w:sz w:val="21"/>
                <w:szCs w:val="21"/>
              </w:rPr>
              <w:t xml:space="preserve">الصنف</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description</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2%"/>
            <w:shd w:fill="f8f9fa" w:val="clear"/>
            <w:tcMar>
              <w:top w:type="dxa" w:w="60"/>
              <w:left w:type="dxa" w:w="100"/>
              <w:bottom w:type="dxa" w:w="60"/>
              <w:right w:type="dxa" w:w="100"/>
            </w:tcMar>
          </w:tcPr>
          <w:p>
            <w:pPr>
              <w:jc w:val="right"/>
            </w:pPr>
            <w:r>
              <w:rPr>
                <w:rFonts w:ascii="Cairo" w:eastAsia="Cairo"/>
                <w:color w:val="1a1a2e"/>
                <w:sz w:val="21"/>
                <w:szCs w:val="21"/>
              </w:rPr>
              <w:t xml:space="preserve">وصف (يختلف عن اسم الصنف)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quantity</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2%"/>
            <w:shd w:fill="FFFFFF" w:val="clear"/>
            <w:tcMar>
              <w:top w:type="dxa" w:w="60"/>
              <w:left w:type="dxa" w:w="100"/>
              <w:bottom w:type="dxa" w:w="60"/>
              <w:right w:type="dxa" w:w="100"/>
            </w:tcMar>
          </w:tcPr>
          <w:p>
            <w:pPr>
              <w:jc w:val="right"/>
            </w:pPr>
            <w:r>
              <w:rPr>
                <w:rFonts w:ascii="Cairo" w:eastAsia="Cairo"/>
                <w:color w:val="1a1a2e"/>
                <w:sz w:val="21"/>
                <w:szCs w:val="21"/>
              </w:rPr>
              <w:t xml:space="preserve">الكمية</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unit_price</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2%"/>
            <w:shd w:fill="f8f9fa" w:val="clear"/>
            <w:tcMar>
              <w:top w:type="dxa" w:w="60"/>
              <w:left w:type="dxa" w:w="100"/>
              <w:bottom w:type="dxa" w:w="60"/>
              <w:right w:type="dxa" w:w="100"/>
            </w:tcMar>
          </w:tcPr>
          <w:p>
            <w:pPr>
              <w:jc w:val="right"/>
            </w:pPr>
            <w:r>
              <w:rPr>
                <w:rFonts w:ascii="Cairo" w:eastAsia="Cairo"/>
                <w:color w:val="1a1a2e"/>
                <w:sz w:val="21"/>
                <w:szCs w:val="21"/>
              </w:rPr>
              <w:t xml:space="preserve">سعر الوحدة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total</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2%"/>
            <w:shd w:fill="FFFFFF" w:val="clear"/>
            <w:tcMar>
              <w:top w:type="dxa" w:w="60"/>
              <w:left w:type="dxa" w:w="100"/>
              <w:bottom w:type="dxa" w:w="60"/>
              <w:right w:type="dxa" w:w="100"/>
            </w:tcMar>
          </w:tcPr>
          <w:p>
            <w:pPr>
              <w:jc w:val="right"/>
            </w:pPr>
            <w:r>
              <w:rPr>
                <w:rFonts w:ascii="Cairo" w:eastAsia="Cairo"/>
                <w:color w:val="1a1a2e"/>
                <w:sz w:val="21"/>
                <w:szCs w:val="21"/>
              </w:rPr>
              <w:t xml:space="preserve">إجمالي الصف</w:t>
            </w:r>
          </w:p>
        </w:tc>
      </w:tr>
    </w:tbl>
    <w:p>
      <w:pPr>
        <w:pStyle w:val="Heading2"/>
        <w:spacing w:after="150" w:before="300" w:line="340"/>
        <w:jc w:val="right"/>
      </w:pPr>
      <w:bookmarkStart w:id="100045" w:name="_Toc100045"/>
      <w:r>
        <w:rPr>
          <w:rFonts w:ascii="Cairo" w:eastAsia="Cairo"/>
          <w:b/>
          <w:bCs/>
          <w:color w:val="0a9396"/>
          <w:sz w:val="30"/>
          <w:szCs w:val="30"/>
        </w:rPr>
        <w:t xml:space="preserve">5.11 جدول حركات الخزينة (treasury_transactions)</w:t>
      </w:r>
      <w:bookmarkEnd w:id="100045"/>
    </w:p>
    <w:p>
      <w:pPr>
        <w:spacing w:after="160" w:line="360"/>
        <w:ind w:firstLine="480"/>
        <w:jc w:val="both"/>
      </w:pPr>
      <w:r>
        <w:rPr>
          <w:rFonts w:ascii="Cairo" w:eastAsia="Cairo"/>
          <w:color w:val="1a1a2e"/>
          <w:sz w:val="24"/>
          <w:szCs w:val="24"/>
        </w:rPr>
        <w:t xml:space="preserve">يسجل جميع حركات النقدية (وارد وصادر) مع إمكانية ربطها بأطراف محددة.</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الحقل</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5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الوصف</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id</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INTEGER PK</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المفتاح الأساسي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type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النوع (income/expense)</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amount</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DECIMAL</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المبلغ</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category</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التصنيف (إداري، أجور...)</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date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DATE</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التاريخ</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party_id</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الطرف المرتبط (اختياري)</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reference_type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نوع المرجع (invoice/payment)</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reference_id</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معرف المرجع</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description</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TEXT</w:t>
            </w:r>
          </w:p>
        </w:tc>
        <w:tc>
          <w:tcPr>
            <w:tcW w:type="pct" w:w="53%"/>
            <w:shd w:fill="FFFFFF" w:val="clear"/>
            <w:tcMar>
              <w:top w:type="dxa" w:w="60"/>
              <w:left w:type="dxa" w:w="100"/>
              <w:bottom w:type="dxa" w:w="60"/>
              <w:right w:type="dxa" w:w="100"/>
            </w:tcMar>
          </w:tcPr>
          <w:p>
            <w:pPr>
              <w:jc w:val="right"/>
            </w:pPr>
            <w:r>
              <w:rPr>
                <w:rFonts w:ascii="Cairo" w:eastAsia="Cairo"/>
                <w:color w:val="1a1a2e"/>
                <w:sz w:val="21"/>
                <w:szCs w:val="21"/>
              </w:rPr>
              <w:t xml:space="preserve">الوصف/ملاحظات</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created_by</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INTEGER FK</w:t>
            </w:r>
          </w:p>
        </w:tc>
        <w:tc>
          <w:tcPr>
            <w:tcW w:type="pct" w:w="53%"/>
            <w:shd w:fill="f8f9fa" w:val="clear"/>
            <w:tcMar>
              <w:top w:type="dxa" w:w="60"/>
              <w:left w:type="dxa" w:w="100"/>
              <w:bottom w:type="dxa" w:w="60"/>
              <w:right w:type="dxa" w:w="100"/>
            </w:tcMar>
          </w:tcPr>
          <w:p>
            <w:pPr>
              <w:jc w:val="right"/>
            </w:pPr>
            <w:r>
              <w:rPr>
                <w:rFonts w:ascii="Cairo" w:eastAsia="Cairo"/>
                <w:color w:val="1a1a2e"/>
                <w:sz w:val="21"/>
                <w:szCs w:val="21"/>
              </w:rPr>
              <w:t xml:space="preserve">المستخدم</w:t>
            </w:r>
          </w:p>
        </w:tc>
      </w:tr>
    </w:tbl>
    <w:p>
      <w:pPr>
        <w:pStyle w:val="Heading2"/>
        <w:spacing w:after="150" w:before="300" w:line="340"/>
        <w:jc w:val="right"/>
      </w:pPr>
      <w:bookmarkStart w:id="100046" w:name="_Toc100046"/>
      <w:r>
        <w:rPr>
          <w:rFonts w:ascii="Cairo" w:eastAsia="Cairo"/>
          <w:b/>
          <w:bCs/>
          <w:color w:val="0a9396"/>
          <w:sz w:val="30"/>
          <w:szCs w:val="30"/>
        </w:rPr>
        <w:t xml:space="preserve">5.12 مخطط العلاقات (ER Diagram Description)</w:t>
      </w:r>
      <w:bookmarkEnd w:id="100046"/>
    </w:p>
    <w:p>
      <w:pPr>
        <w:spacing w:after="160" w:line="360"/>
        <w:ind w:firstLine="480"/>
        <w:jc w:val="both"/>
      </w:pPr>
      <w:r>
        <w:rPr>
          <w:rFonts w:ascii="Cairo" w:eastAsia="Cairo"/>
          <w:color w:val="1a1a2e"/>
          <w:sz w:val="24"/>
          <w:szCs w:val="24"/>
        </w:rPr>
        <w:t xml:space="preserve">العلاقات بين الجداول تتبع نمطاً منطقياً واضحاً: settings جدول منفرد (singleton). users مستقل بدون علاقات خارجية قوية. warehouses, categories, units جداول مرجعية (lookup tables). items يرتبط بـ category, unit, warehouse, supplier. parties جدول مستقل. invoices يرتبط بـ party و user. invoice_items يرتبط بـ invoices (cascade delete) و items. treasury_transactions يرتبط اختيارياً بـ party و user.</w:t>
      </w:r>
    </w:p>
    <w:p>
      <w:pPr>
        <w:pStyle w:val="Heading1"/>
        <w:spacing w:after="200" w:before="400" w:line="360"/>
        <w:jc w:val="right"/>
      </w:pPr>
      <w:bookmarkStart w:id="100047" w:name="_Toc100047"/>
      <w:r>
        <w:rPr>
          <w:rFonts w:ascii="Cairo" w:eastAsia="Cairo"/>
          <w:b/>
          <w:bCs/>
          <w:color w:val="005f73"/>
          <w:sz w:val="36"/>
          <w:szCs w:val="36"/>
        </w:rPr>
        <w:t xml:space="preserve">6. هيكلة المشروع وهيكل الملفات (Project Structure)</w:t>
      </w:r>
      <w:bookmarkEnd w:id="100047"/>
    </w:p>
    <w:p>
      <w:pPr>
        <w:pStyle w:val="Heading2"/>
        <w:spacing w:after="150" w:before="300" w:line="340"/>
        <w:jc w:val="right"/>
      </w:pPr>
      <w:bookmarkStart w:id="100048" w:name="_Toc100048"/>
      <w:r>
        <w:rPr>
          <w:rFonts w:ascii="Cairo" w:eastAsia="Cairo"/>
          <w:b/>
          <w:bCs/>
          <w:color w:val="0a9396"/>
          <w:sz w:val="30"/>
          <w:szCs w:val="30"/>
        </w:rPr>
        <w:t xml:space="preserve">6.1 الهيكل العام للمجلدات</w:t>
      </w:r>
      <w:bookmarkEnd w:id="100048"/>
    </w:p>
    <w:p>
      <w:pPr>
        <w:spacing w:after="160" w:line="360"/>
        <w:ind w:firstLine="480"/>
        <w:jc w:val="both"/>
      </w:pPr>
      <w:r>
        <w:rPr>
          <w:rFonts w:ascii="Cairo" w:eastAsia="Cairo"/>
          <w:color w:val="1a1a2e"/>
          <w:sz w:val="24"/>
          <w:szCs w:val="24"/>
        </w:rPr>
        <w:t xml:space="preserve">يتبع المشروع هيكلاً تنظيمياً واضحاً يفصل بين مسؤوليات Electron (عملية رئيسية) و React (واجهة المستخدم) والموارد الثابتة. هذا الفصل يسهل الصيانة ويسمح بتطوير موازٍ للواجهة والخلفية.</w:t>
      </w:r>
    </w:p>
    <w:p>
      <w:pPr>
        <w:spacing w:after="160" w:line="360"/>
        <w:ind/>
        <w:jc w:val="both"/>
      </w:pPr>
      <w:r>
        <w:rPr>
          <w:rFonts w:ascii="Cairo" w:eastAsia="Cairo"/>
          <w:color w:val="1a1a2e"/>
          <w:sz w:val="24"/>
          <w:szCs w:val="24"/>
        </w:rPr>
        <w:t xml:space="preserve">accounting-pro/
├── electron/                    # ملفات الإلكترون (Main Process)
│   ├── main.js                 # نقطة دخول الإلكترون
│   ├── preload.js              # Bridge بين الإلكترون والريأكت
│   └── database/
│       ├── connection.js       # إعداد SQLite
│       ├── models/             # Sequelize Models
│       └── migrations/         # Database Migrations
├── public/                     # الملفات الثابتة
│   ├── icon.ico               # أيقونة التطبيق
│   └── fonts/                 # خط Cairo المحلي
├── src/                        # كود الريأكت (Frontend)
│   ├── components/            # المكونات المشتركة
│   │   ├── ui/                # أزرار، مدخلات، جداول
│   │   ├── layout/            # Sidebar, Header
│   │   └── shared/            # InvoiceForm, PartyCard
│   ├── pages/                 # الصفحات الرئيسية
│   │   ├── Dashboard/
│   │   ├── Sales/
│   │   ├── Purchases/
│   │   ├── Inventory/
│   │   ├── Parties/
│   │   ├── Treasury/
│   │   ├── Reports/
│   │   └── Settings/
│   ├── store/                 # Zustand Stores
│   ├── services/              # API Services
│   ├── hooks/                 # Custom Hooks
│   ├── utils/                 # Helper Functions
│   └── App.jsx                # Entry Point
├── tests/                      # اختبارات
├── package.json
├── vite.config.js
├── tailwind.config.js
├── electron-builder.yml
└── README.md</w:t>
      </w:r>
    </w:p>
    <w:p>
      <w:pPr>
        <w:pStyle w:val="Heading2"/>
        <w:spacing w:after="150" w:before="300" w:line="340"/>
        <w:jc w:val="right"/>
      </w:pPr>
      <w:bookmarkStart w:id="100049" w:name="_Toc100049"/>
      <w:r>
        <w:rPr>
          <w:rFonts w:ascii="Cairo" w:eastAsia="Cairo"/>
          <w:b/>
          <w:bCs/>
          <w:color w:val="0a9396"/>
          <w:sz w:val="30"/>
          <w:szCs w:val="30"/>
        </w:rPr>
        <w:t xml:space="preserve">6.2 وصف المجلدات الرئيسية</w:t>
      </w:r>
      <w:bookmarkEnd w:id="100049"/>
    </w:p>
    <w:p>
      <w:pPr>
        <w:pStyle w:val="Heading3"/>
        <w:spacing w:after="120" w:before="240" w:line="320"/>
        <w:jc w:val="right"/>
      </w:pPr>
      <w:bookmarkStart w:id="100050" w:name="_Toc100050"/>
      <w:r>
        <w:rPr>
          <w:rFonts w:ascii="Cairo" w:eastAsia="Cairo"/>
          <w:b/>
          <w:bCs/>
          <w:color w:val="1a1a2e"/>
          <w:sz w:val="26"/>
          <w:szCs w:val="26"/>
        </w:rPr>
        <w:t xml:space="preserve">electron/</w:t>
      </w:r>
      <w:bookmarkEnd w:id="100050"/>
    </w:p>
    <w:p>
      <w:pPr>
        <w:spacing w:after="160" w:line="360"/>
        <w:ind w:firstLine="480"/>
        <w:jc w:val="both"/>
      </w:pPr>
      <w:r>
        <w:rPr>
          <w:rFonts w:ascii="Cairo" w:eastAsia="Cairo"/>
          <w:color w:val="1a1a2e"/>
          <w:sz w:val="24"/>
          <w:szCs w:val="24"/>
        </w:rPr>
        <w:t xml:space="preserve">يحتوي هذا المجلد على كود عملية الإلكترون الرئيسية (Main Process). main.js ينشئ نافذة التطبيق ويدير دورة حياة التطبيق. preload.js يعرض APIs آمنة للواجهة عبر contextBridge. database/ يحتوي على إعداد SQLite وكل Models و Migrations.</w:t>
      </w:r>
    </w:p>
    <w:p>
      <w:pPr>
        <w:pStyle w:val="Heading3"/>
        <w:spacing w:after="120" w:before="240" w:line="320"/>
        <w:jc w:val="right"/>
      </w:pPr>
      <w:bookmarkStart w:id="100051" w:name="_Toc100051"/>
      <w:r>
        <w:rPr>
          <w:rFonts w:ascii="Cairo" w:eastAsia="Cairo"/>
          <w:b/>
          <w:bCs/>
          <w:color w:val="1a1a2e"/>
          <w:sz w:val="26"/>
          <w:szCs w:val="26"/>
        </w:rPr>
        <w:t xml:space="preserve">src/components/</w:t>
      </w:r>
      <w:bookmarkEnd w:id="100051"/>
    </w:p>
    <w:p>
      <w:pPr>
        <w:spacing w:after="160" w:line="360"/>
        <w:ind w:firstLine="480"/>
        <w:jc w:val="both"/>
      </w:pPr>
      <w:r>
        <w:rPr>
          <w:rFonts w:ascii="Cairo" w:eastAsia="Cairo"/>
          <w:color w:val="1a1a2e"/>
          <w:sz w:val="24"/>
          <w:szCs w:val="24"/>
        </w:rPr>
        <w:t xml:space="preserve">المكونات القابلة لإعادة الاستخدام. ui/ يحتوي على العناصر الأساسية (Buttons, Inputs, Modals). layout/ يحتوي على الهيكل العام (Sidebar, Header). shared/ يحتوي على مكونات وظيفية معقدة (InvoiceForm, PartyCard) تستخدم في أكثر من مكان.</w:t>
      </w:r>
    </w:p>
    <w:p>
      <w:pPr>
        <w:pStyle w:val="Heading3"/>
        <w:spacing w:after="120" w:before="240" w:line="320"/>
        <w:jc w:val="right"/>
      </w:pPr>
      <w:bookmarkStart w:id="100052" w:name="_Toc100052"/>
      <w:r>
        <w:rPr>
          <w:rFonts w:ascii="Cairo" w:eastAsia="Cairo"/>
          <w:b/>
          <w:bCs/>
          <w:color w:val="1a1a2e"/>
          <w:sz w:val="26"/>
          <w:szCs w:val="26"/>
        </w:rPr>
        <w:t xml:space="preserve">src/pages/</w:t>
      </w:r>
      <w:bookmarkEnd w:id="100052"/>
    </w:p>
    <w:p>
      <w:pPr>
        <w:spacing w:after="160" w:line="360"/>
        <w:ind w:firstLine="480"/>
        <w:jc w:val="both"/>
      </w:pPr>
      <w:r>
        <w:rPr>
          <w:rFonts w:ascii="Cairo" w:eastAsia="Cairo"/>
          <w:color w:val="1a1a2e"/>
          <w:sz w:val="24"/>
          <w:szCs w:val="24"/>
        </w:rPr>
        <w:t xml:space="preserve">كل مجلد يمثل قسماً رئيسياً من التطبيق. كل صفحة قد تحتوي على مكونات فرعية خاصة بها. هذا التنظيم يسهل التنقل وإضافة صفحات جديدة.</w:t>
      </w:r>
    </w:p>
    <w:p>
      <w:pPr>
        <w:pStyle w:val="Heading3"/>
        <w:spacing w:after="120" w:before="240" w:line="320"/>
        <w:jc w:val="right"/>
      </w:pPr>
      <w:bookmarkStart w:id="100053" w:name="_Toc100053"/>
      <w:r>
        <w:rPr>
          <w:rFonts w:ascii="Cairo" w:eastAsia="Cairo"/>
          <w:b/>
          <w:bCs/>
          <w:color w:val="1a1a2e"/>
          <w:sz w:val="26"/>
          <w:szCs w:val="26"/>
        </w:rPr>
        <w:t xml:space="preserve">src/store/</w:t>
      </w:r>
      <w:bookmarkEnd w:id="100053"/>
    </w:p>
    <w:p>
      <w:pPr>
        <w:spacing w:after="160" w:line="360"/>
        <w:ind w:firstLine="480"/>
        <w:jc w:val="both"/>
      </w:pPr>
      <w:r>
        <w:rPr>
          <w:rFonts w:ascii="Cairo" w:eastAsia="Cairo"/>
          <w:color w:val="1a1a2e"/>
          <w:sz w:val="24"/>
          <w:szCs w:val="24"/>
        </w:rPr>
        <w:t xml:space="preserve">يستخدم Zustand لإدارة الحالة العالمية. كل store يدير جزءاً محدداً من الحالة (المصادقة، الفواتير، المخزون، الإعدادات). Zustand اختير على Redux لبساطته وحجمه الأصغر.</w:t>
      </w:r>
    </w:p>
    <w:p>
      <w:pPr>
        <w:pStyle w:val="Heading3"/>
        <w:spacing w:after="120" w:before="240" w:line="320"/>
        <w:jc w:val="right"/>
      </w:pPr>
      <w:bookmarkStart w:id="100054" w:name="_Toc100054"/>
      <w:r>
        <w:rPr>
          <w:rFonts w:ascii="Cairo" w:eastAsia="Cairo"/>
          <w:b/>
          <w:bCs/>
          <w:color w:val="1a1a2e"/>
          <w:sz w:val="26"/>
          <w:szCs w:val="26"/>
        </w:rPr>
        <w:t xml:space="preserve">src/services/</w:t>
      </w:r>
      <w:bookmarkEnd w:id="100054"/>
    </w:p>
    <w:p>
      <w:pPr>
        <w:spacing w:after="160" w:line="360"/>
        <w:ind w:firstLine="480"/>
        <w:jc w:val="both"/>
      </w:pPr>
      <w:r>
        <w:rPr>
          <w:rFonts w:ascii="Cairo" w:eastAsia="Cairo"/>
          <w:color w:val="1a1a2e"/>
          <w:sz w:val="24"/>
          <w:szCs w:val="24"/>
        </w:rPr>
        <w:t xml:space="preserve">يغلف جميع الاتصالات مع Backend API. كل service يتعامل مع كيان محدد. يستخدم Axios مع interceptors للتعامل مع الأخطاء وtokens.</w:t>
      </w:r>
    </w:p>
    <w:p>
      <w:pPr>
        <w:pStyle w:val="Heading2"/>
        <w:spacing w:after="150" w:before="300" w:line="340"/>
        <w:jc w:val="right"/>
      </w:pPr>
      <w:bookmarkStart w:id="100055" w:name="_Toc100055"/>
      <w:r>
        <w:rPr>
          <w:rFonts w:ascii="Cairo" w:eastAsia="Cairo"/>
          <w:b/>
          <w:bCs/>
          <w:color w:val="0a9396"/>
          <w:sz w:val="30"/>
          <w:szCs w:val="30"/>
        </w:rPr>
        <w:t xml:space="preserve">6.3 تبعيات الوحدات (Module Dependencies)</w:t>
      </w:r>
      <w:bookmarkEnd w:id="100055"/>
    </w:p>
    <w:p>
      <w:pPr>
        <w:spacing w:after="160" w:line="360"/>
        <w:ind w:firstLine="480"/>
        <w:jc w:val="both"/>
      </w:pPr>
      <w:r>
        <w:rPr>
          <w:rFonts w:ascii="Cairo" w:eastAsia="Cairo"/>
          <w:color w:val="1a1a2e"/>
          <w:sz w:val="24"/>
          <w:szCs w:val="24"/>
        </w:rPr>
        <w:t xml:space="preserve">تعتمد Pages على Components و Services و Stores. Components تعتمد على UI primitives. Stores تتصل بـ Services للحصول على البيانات. Services تتصل بـ Express APIs في Electron. Express APIs تستخدم Sequelize Models للوصول لقاعدة البيانات. هذا التدفق أحادي الاتجاه يضمن وضوحاً في تتبع البيانات وتصحيح الأخطاء.</w:t>
      </w:r>
    </w:p>
    <w:p>
      <w:pPr>
        <w:pStyle w:val="Heading1"/>
        <w:spacing w:after="200" w:before="400" w:line="360"/>
        <w:jc w:val="right"/>
      </w:pPr>
      <w:bookmarkStart w:id="100056" w:name="_Toc100056"/>
      <w:r>
        <w:rPr>
          <w:rFonts w:ascii="Cairo" w:eastAsia="Cairo"/>
          <w:b/>
          <w:bCs/>
          <w:color w:val="005f73"/>
          <w:sz w:val="36"/>
          <w:szCs w:val="36"/>
        </w:rPr>
        <w:t xml:space="preserve">7. تصميم واجهة المستخدم (UI/UX Design Specifications)</w:t>
      </w:r>
      <w:bookmarkEnd w:id="100056"/>
    </w:p>
    <w:p>
      <w:pPr>
        <w:pStyle w:val="Heading2"/>
        <w:spacing w:after="150" w:before="300" w:line="340"/>
        <w:jc w:val="right"/>
      </w:pPr>
      <w:bookmarkStart w:id="100057" w:name="_Toc100057"/>
      <w:r>
        <w:rPr>
          <w:rFonts w:ascii="Cairo" w:eastAsia="Cairo"/>
          <w:b/>
          <w:bCs/>
          <w:color w:val="0a9396"/>
          <w:sz w:val="30"/>
          <w:szCs w:val="30"/>
        </w:rPr>
        <w:t xml:space="preserve">7.1 مبادئ التصميم الأساسية</w:t>
      </w:r>
      <w:bookmarkEnd w:id="100057"/>
    </w:p>
    <w:p>
      <w:pPr>
        <w:spacing w:after="160" w:line="360"/>
        <w:ind w:firstLine="480"/>
        <w:jc w:val="both"/>
      </w:pPr>
      <w:r>
        <w:rPr>
          <w:rFonts w:ascii="Cairo" w:eastAsia="Cairo"/>
          <w:color w:val="1a1a2e"/>
          <w:sz w:val="24"/>
          <w:szCs w:val="24"/>
        </w:rPr>
        <w:t xml:space="preserve">يتبع تصميم Accounting Pro مجموعة من المبادئ الأساسية التي تضمن تجربة مستخدم متسقة وفعالة. أولاً، البساطة: واجهة نظيفة بدون عنصر زائد، كل عنصر له وظيفة واضحة. ثانياً، الاتساق: نفس الألوان والخطوط والمسافات في جميع أنحاء التطبيق. ثالثاً، إمكانية الوصول: نص واضح، تباين كافٍ، دعم لوحة مفاتيح. رابعاً، الكفاءة: أقل عدد نقرات لإنجاز المهام الشائعة. خامساً، الثقة: رسائل تأكيد واضحة، حفظ تلقائي، إمكانية التراجع.</w:t>
      </w:r>
    </w:p>
    <w:p>
      <w:pPr>
        <w:pStyle w:val="Heading2"/>
        <w:spacing w:after="150" w:before="300" w:line="340"/>
        <w:jc w:val="right"/>
      </w:pPr>
      <w:bookmarkStart w:id="100058" w:name="_Toc100058"/>
      <w:r>
        <w:rPr>
          <w:rFonts w:ascii="Cairo" w:eastAsia="Cairo"/>
          <w:b/>
          <w:bCs/>
          <w:color w:val="0a9396"/>
          <w:sz w:val="30"/>
          <w:szCs w:val="30"/>
        </w:rPr>
        <w:t xml:space="preserve">7.2 نظام الألوان (Color System)</w:t>
      </w:r>
      <w:bookmarkEnd w:id="100058"/>
    </w:p>
    <w:p>
      <w:pPr>
        <w:spacing w:after="160" w:line="360"/>
        <w:ind w:firstLine="480"/>
        <w:jc w:val="both"/>
      </w:pPr>
      <w:r>
        <w:rPr>
          <w:rFonts w:ascii="Cairo" w:eastAsia="Cairo"/>
          <w:color w:val="1a1a2e"/>
          <w:sz w:val="24"/>
          <w:szCs w:val="24"/>
        </w:rPr>
        <w:t xml:space="preserve">يستخدم التطبيق لوحة ألوان مستوحاة من الطبيعة البحرية الهادئة، مما يوفر راحة بصرية during long working hours. الألوان الأساسية:</w:t>
      </w:r>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اللون</w:t>
            </w:r>
          </w:p>
        </w:tc>
        <w:tc>
          <w:tcPr>
            <w:tcW w:type="pct" w:w="2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الكود</w:t>
            </w:r>
          </w:p>
        </w:tc>
        <w:tc>
          <w:tcPr>
            <w:tcW w:type="pct" w:w="5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الاستخدام</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الأزرق الكحلي</w:t>
            </w:r>
          </w:p>
        </w:tc>
        <w:tc>
          <w:tcPr>
            <w:tcW w:type="pct" w:w="20%"/>
            <w:shd w:fill="FFFFFF" w:val="clear"/>
            <w:tcMar>
              <w:top w:type="dxa" w:w="60"/>
              <w:left w:type="dxa" w:w="100"/>
              <w:bottom w:type="dxa" w:w="60"/>
              <w:right w:type="dxa" w:w="100"/>
            </w:tcMar>
          </w:tcPr>
          <w:p>
            <w:pPr>
              <w:jc w:val="right"/>
            </w:pPr>
            <w:r>
              <w:rPr>
                <w:rFonts w:ascii="Cairo" w:eastAsia="Cairo"/>
                <w:color w:val="1a1a2e"/>
                <w:sz w:val="21"/>
                <w:szCs w:val="21"/>
              </w:rPr>
              <w:t xml:space="preserve">#005f73</w:t>
            </w:r>
          </w:p>
        </w:tc>
        <w:tc>
          <w:tcPr>
            <w:tcW w:type="pct" w:w="55%"/>
            <w:shd w:fill="FFFFFF" w:val="clear"/>
            <w:tcMar>
              <w:top w:type="dxa" w:w="60"/>
              <w:left w:type="dxa" w:w="100"/>
              <w:bottom w:type="dxa" w:w="60"/>
              <w:right w:type="dxa" w:w="100"/>
            </w:tcMar>
          </w:tcPr>
          <w:p>
            <w:pPr>
              <w:jc w:val="right"/>
            </w:pPr>
            <w:r>
              <w:rPr>
                <w:rFonts w:ascii="Cairo" w:eastAsia="Cairo"/>
                <w:color w:val="1a1a2e"/>
                <w:sz w:val="21"/>
                <w:szCs w:val="21"/>
              </w:rPr>
              <w:t xml:space="preserve">العناوين الرئيسية، الشريط الجانبي العلوي</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الأزرق السماوي</w:t>
            </w:r>
          </w:p>
        </w:tc>
        <w:tc>
          <w:tcPr>
            <w:tcW w:type="pct" w:w="20%"/>
            <w:shd w:fill="f8f9fa" w:val="clear"/>
            <w:tcMar>
              <w:top w:type="dxa" w:w="60"/>
              <w:left w:type="dxa" w:w="100"/>
              <w:bottom w:type="dxa" w:w="60"/>
              <w:right w:type="dxa" w:w="100"/>
            </w:tcMar>
          </w:tcPr>
          <w:p>
            <w:pPr>
              <w:jc w:val="right"/>
            </w:pPr>
            <w:r>
              <w:rPr>
                <w:rFonts w:ascii="Cairo" w:eastAsia="Cairo"/>
                <w:color w:val="1a1a2e"/>
                <w:sz w:val="21"/>
                <w:szCs w:val="21"/>
              </w:rPr>
              <w:t xml:space="preserve">#0a9396</w:t>
            </w:r>
          </w:p>
        </w:tc>
        <w:tc>
          <w:tcPr>
            <w:tcW w:type="pct" w:w="55%"/>
            <w:shd w:fill="f8f9fa" w:val="clear"/>
            <w:tcMar>
              <w:top w:type="dxa" w:w="60"/>
              <w:left w:type="dxa" w:w="100"/>
              <w:bottom w:type="dxa" w:w="60"/>
              <w:right w:type="dxa" w:w="100"/>
            </w:tcMar>
          </w:tcPr>
          <w:p>
            <w:pPr>
              <w:jc w:val="right"/>
            </w:pPr>
            <w:r>
              <w:rPr>
                <w:rFonts w:ascii="Cairo" w:eastAsia="Cairo"/>
                <w:color w:val="1a1a2e"/>
                <w:sz w:val="21"/>
                <w:szCs w:val="21"/>
              </w:rPr>
              <w:t xml:space="preserve">العناوين الفرعية، الروابط، الأزرار الرئيسية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الأزرق الفاتح</w:t>
            </w:r>
          </w:p>
        </w:tc>
        <w:tc>
          <w:tcPr>
            <w:tcW w:type="pct" w:w="20%"/>
            <w:shd w:fill="FFFFFF" w:val="clear"/>
            <w:tcMar>
              <w:top w:type="dxa" w:w="60"/>
              <w:left w:type="dxa" w:w="100"/>
              <w:bottom w:type="dxa" w:w="60"/>
              <w:right w:type="dxa" w:w="100"/>
            </w:tcMar>
          </w:tcPr>
          <w:p>
            <w:pPr>
              <w:jc w:val="right"/>
            </w:pPr>
            <w:r>
              <w:rPr>
                <w:rFonts w:ascii="Cairo" w:eastAsia="Cairo"/>
                <w:color w:val="1a1a2e"/>
                <w:sz w:val="21"/>
                <w:szCs w:val="21"/>
              </w:rPr>
              <w:t xml:space="preserve">#94d2bd</w:t>
            </w:r>
          </w:p>
        </w:tc>
        <w:tc>
          <w:tcPr>
            <w:tcW w:type="pct" w:w="55%"/>
            <w:shd w:fill="FFFFFF" w:val="clear"/>
            <w:tcMar>
              <w:top w:type="dxa" w:w="60"/>
              <w:left w:type="dxa" w:w="100"/>
              <w:bottom w:type="dxa" w:w="60"/>
              <w:right w:type="dxa" w:w="100"/>
            </w:tcMar>
          </w:tcPr>
          <w:p>
            <w:pPr>
              <w:jc w:val="right"/>
            </w:pPr>
            <w:r>
              <w:rPr>
                <w:rFonts w:ascii="Cairo" w:eastAsia="Cairo"/>
                <w:color w:val="1a1a2e"/>
                <w:sz w:val="21"/>
                <w:szCs w:val="21"/>
              </w:rPr>
              <w:t xml:space="preserve">الخلفيات الثانوية، الحدود، التمييز</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رمادي فاتح</w:t>
            </w:r>
          </w:p>
        </w:tc>
        <w:tc>
          <w:tcPr>
            <w:tcW w:type="pct" w:w="20%"/>
            <w:shd w:fill="f8f9fa" w:val="clear"/>
            <w:tcMar>
              <w:top w:type="dxa" w:w="60"/>
              <w:left w:type="dxa" w:w="100"/>
              <w:bottom w:type="dxa" w:w="60"/>
              <w:right w:type="dxa" w:w="100"/>
            </w:tcMar>
          </w:tcPr>
          <w:p>
            <w:pPr>
              <w:jc w:val="right"/>
            </w:pPr>
            <w:r>
              <w:rPr>
                <w:rFonts w:ascii="Cairo" w:eastAsia="Cairo"/>
                <w:color w:val="1a1a2e"/>
                <w:sz w:val="21"/>
                <w:szCs w:val="21"/>
              </w:rPr>
              <w:t xml:space="preserve">#f8f9fa</w:t>
            </w:r>
          </w:p>
        </w:tc>
        <w:tc>
          <w:tcPr>
            <w:tcW w:type="pct" w:w="55%"/>
            <w:shd w:fill="f8f9fa" w:val="clear"/>
            <w:tcMar>
              <w:top w:type="dxa" w:w="60"/>
              <w:left w:type="dxa" w:w="100"/>
              <w:bottom w:type="dxa" w:w="60"/>
              <w:right w:type="dxa" w:w="100"/>
            </w:tcMar>
          </w:tcPr>
          <w:p>
            <w:pPr>
              <w:jc w:val="right"/>
            </w:pPr>
            <w:r>
              <w:rPr>
                <w:rFonts w:ascii="Cairo" w:eastAsia="Cairo"/>
                <w:color w:val="1a1a2e"/>
                <w:sz w:val="21"/>
                <w:szCs w:val="21"/>
              </w:rPr>
              <w:t xml:space="preserve">خلفية التطبيق العامة</w:t>
            </w:r>
          </w:p>
        </w:tc>
      </w:tr>
      <w:tr>
        <w:trPr>
          <w:cantSplit/>
        </w:trPr>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نص داكن</w:t>
            </w:r>
          </w:p>
        </w:tc>
        <w:tc>
          <w:tcPr>
            <w:tcW w:type="pct" w:w="20%"/>
            <w:shd w:fill="FFFFFF" w:val="clear"/>
            <w:tcMar>
              <w:top w:type="dxa" w:w="60"/>
              <w:left w:type="dxa" w:w="100"/>
              <w:bottom w:type="dxa" w:w="60"/>
              <w:right w:type="dxa" w:w="100"/>
            </w:tcMar>
          </w:tcPr>
          <w:p>
            <w:pPr>
              <w:jc w:val="right"/>
            </w:pPr>
            <w:r>
              <w:rPr>
                <w:rFonts w:ascii="Cairo" w:eastAsia="Cairo"/>
                <w:color w:val="1a1a2e"/>
                <w:sz w:val="21"/>
                <w:szCs w:val="21"/>
              </w:rPr>
              <w:t xml:space="preserve">#1a1a2e</w:t>
            </w:r>
          </w:p>
        </w:tc>
        <w:tc>
          <w:tcPr>
            <w:tcW w:type="pct" w:w="55%"/>
            <w:shd w:fill="FFFFFF" w:val="clear"/>
            <w:tcMar>
              <w:top w:type="dxa" w:w="60"/>
              <w:left w:type="dxa" w:w="100"/>
              <w:bottom w:type="dxa" w:w="60"/>
              <w:right w:type="dxa" w:w="100"/>
            </w:tcMar>
          </w:tcPr>
          <w:p>
            <w:pPr>
              <w:jc w:val="right"/>
            </w:pPr>
            <w:r>
              <w:rPr>
                <w:rFonts w:ascii="Cairo" w:eastAsia="Cairo"/>
                <w:color w:val="1a1a2e"/>
                <w:sz w:val="21"/>
                <w:szCs w:val="21"/>
              </w:rPr>
              <w:t xml:space="preserve">النصوص الأساسية</w:t>
            </w:r>
          </w:p>
        </w:tc>
      </w:tr>
      <w:tr>
        <w:trPr>
          <w:cantSplit/>
        </w:trPr>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رمادي ثانوي</w:t>
            </w:r>
          </w:p>
        </w:tc>
        <w:tc>
          <w:tcPr>
            <w:tcW w:type="pct" w:w="20%"/>
            <w:shd w:fill="f8f9fa" w:val="clear"/>
            <w:tcMar>
              <w:top w:type="dxa" w:w="60"/>
              <w:left w:type="dxa" w:w="100"/>
              <w:bottom w:type="dxa" w:w="60"/>
              <w:right w:type="dxa" w:w="100"/>
            </w:tcMar>
          </w:tcPr>
          <w:p>
            <w:pPr>
              <w:jc w:val="right"/>
            </w:pPr>
            <w:r>
              <w:rPr>
                <w:rFonts w:ascii="Cairo" w:eastAsia="Cairo"/>
                <w:color w:val="1a1a2e"/>
                <w:sz w:val="21"/>
                <w:szCs w:val="21"/>
              </w:rPr>
              <w:t xml:space="preserve">#6c757d</w:t>
            </w:r>
          </w:p>
        </w:tc>
        <w:tc>
          <w:tcPr>
            <w:tcW w:type="pct" w:w="55%"/>
            <w:shd w:fill="f8f9fa" w:val="clear"/>
            <w:tcMar>
              <w:top w:type="dxa" w:w="60"/>
              <w:left w:type="dxa" w:w="100"/>
              <w:bottom w:type="dxa" w:w="60"/>
              <w:right w:type="dxa" w:w="100"/>
            </w:tcMar>
          </w:tcPr>
          <w:p>
            <w:pPr>
              <w:jc w:val="right"/>
            </w:pPr>
            <w:r>
              <w:rPr>
                <w:rFonts w:ascii="Cairo" w:eastAsia="Cairo"/>
                <w:color w:val="1a1a2e"/>
                <w:sz w:val="21"/>
                <w:szCs w:val="21"/>
              </w:rPr>
              <w:t xml:space="preserve">النصوص الثانوية، العناصر المعطلة</w:t>
            </w:r>
          </w:p>
        </w:tc>
      </w:tr>
    </w:tbl>
    <w:p>
      <w:pPr>
        <w:pStyle w:val="Heading2"/>
        <w:spacing w:after="150" w:before="300" w:line="340"/>
        <w:jc w:val="right"/>
      </w:pPr>
      <w:bookmarkStart w:id="100059" w:name="_Toc100059"/>
      <w:r>
        <w:rPr>
          <w:rFonts w:ascii="Cairo" w:eastAsia="Cairo"/>
          <w:b/>
          <w:bCs/>
          <w:color w:val="0a9396"/>
          <w:sz w:val="30"/>
          <w:szCs w:val="30"/>
        </w:rPr>
        <w:t xml:space="preserve">7.3 نظام الخطوط (Typography)</w:t>
      </w:r>
      <w:bookmarkEnd w:id="100059"/>
    </w:p>
    <w:p>
      <w:pPr>
        <w:spacing w:after="160" w:line="360"/>
        <w:ind w:firstLine="480"/>
        <w:jc w:val="both"/>
      </w:pPr>
      <w:r>
        <w:rPr>
          <w:rFonts w:ascii="Cairo" w:eastAsia="Cairo"/>
          <w:color w:val="1a1a2e"/>
          <w:sz w:val="24"/>
          <w:szCs w:val="24"/>
        </w:rPr>
        <w:t xml:space="preserve">يستخدم التطبيق خط Cairo من Google Fonts كخط أساسي لدعمه الممتاز للحروف العربية. يتم تضمين الخط محلياً ضمن التطبيق لضمان العمل بدون إنترنت. أحجام الخطوط: العناوين الرئيسية 18-20pt، العناوين الفرعية 14-16pt، نص الجسم 12pt، التسميات التوضيحية 10pt. الوزن: Regular 400 للنصوص، Semi-Bold 600 للعناوين، Bold 700 للتأكيد.</w:t>
      </w:r>
    </w:p>
    <w:p>
      <w:pPr>
        <w:pStyle w:val="Heading2"/>
        <w:spacing w:after="150" w:before="300" w:line="340"/>
        <w:jc w:val="right"/>
      </w:pPr>
      <w:bookmarkStart w:id="100060" w:name="_Toc100060"/>
      <w:r>
        <w:rPr>
          <w:rFonts w:ascii="Cairo" w:eastAsia="Cairo"/>
          <w:b/>
          <w:bCs/>
          <w:color w:val="0a9396"/>
          <w:sz w:val="30"/>
          <w:szCs w:val="30"/>
        </w:rPr>
        <w:t xml:space="preserve">7.4 التخطيط العام (Main Layout)</w:t>
      </w:r>
      <w:bookmarkEnd w:id="100060"/>
    </w:p>
    <w:p>
      <w:pPr>
        <w:spacing w:after="160" w:line="360"/>
        <w:ind w:firstLine="480"/>
        <w:jc w:val="both"/>
      </w:pPr>
      <w:r>
        <w:rPr>
          <w:rFonts w:ascii="Cairo" w:eastAsia="Cairo"/>
          <w:color w:val="1a1a2e"/>
          <w:sz w:val="24"/>
          <w:szCs w:val="24"/>
        </w:rPr>
        <w:t xml:space="preserve">يتكون التخطيط العام من ثلاثة أجزاء رئيسية: الشريط الجانبي (Sidebar) على اليمين بعرض 260px، يحتوي على شعار التطبيق وقائمة التنقل. رأس الصفحة (Header) في الأعلى بارتفاع 64px، يحتوي على عنوان القسم الحالي، بحث عام، والإشعارات. المنطقة الرئيسية (Main Content) تأخذ المسافة المتبقية وتتغير محتوياتها حسب القسم المختار.</w:t>
      </w:r>
    </w:p>
    <w:p>
      <w:pPr>
        <w:pStyle w:val="Heading2"/>
        <w:spacing w:after="150" w:before="300" w:line="340"/>
        <w:jc w:val="right"/>
      </w:pPr>
      <w:bookmarkStart w:id="100061" w:name="_Toc100061"/>
      <w:r>
        <w:rPr>
          <w:rFonts w:ascii="Cairo" w:eastAsia="Cairo"/>
          <w:b/>
          <w:bCs/>
          <w:color w:val="0a9396"/>
          <w:sz w:val="30"/>
          <w:szCs w:val="30"/>
        </w:rPr>
        <w:t xml:space="preserve">7.5 الشريط الجانبي (Sidebar Navigation)</w:t>
      </w:r>
      <w:bookmarkEnd w:id="100061"/>
    </w:p>
    <w:p>
      <w:pPr>
        <w:spacing w:after="160" w:line="360"/>
        <w:ind w:firstLine="480"/>
        <w:jc w:val="both"/>
      </w:pPr>
      <w:r>
        <w:rPr>
          <w:rFonts w:ascii="Cairo" w:eastAsia="Cairo"/>
          <w:color w:val="1a1a2e"/>
          <w:sz w:val="24"/>
          <w:szCs w:val="24"/>
        </w:rPr>
        <w:t xml:space="preserve">يحتوي الشريط الجانبي على القائمة التالية مرتبة من الأعلى للأسفل: لوحة التحكم (Dashboard) - أيقونة home، المبيعات (Sales) - أيقونة shopping cart، المشتريات (Purchases) - أيقونة truck، المخزون (Inventory) - أيقونة boxes، العملاء والموردين (Parties) - أيقونة users، الخزينة (Treasury) - أيقونة wallet، التقارير (Reports) - أيقونة chart، الإعدادات (Settings) - أيقونة gear. كل عنصر يظهر اسمه وأيقونته مع تغيير لون الخلفية عند التمرير والتحديد.</w:t>
      </w:r>
    </w:p>
    <w:p>
      <w:pPr>
        <w:pStyle w:val="Heading2"/>
        <w:spacing w:after="150" w:before="300" w:line="340"/>
        <w:jc w:val="right"/>
      </w:pPr>
      <w:bookmarkStart w:id="100062" w:name="_Toc100062"/>
      <w:r>
        <w:rPr>
          <w:rFonts w:ascii="Cairo" w:eastAsia="Cairo"/>
          <w:b/>
          <w:bCs/>
          <w:color w:val="0a9396"/>
          <w:sz w:val="30"/>
          <w:szCs w:val="30"/>
        </w:rPr>
        <w:t xml:space="preserve">7.6 لوحة التحكم (Dashboard)</w:t>
      </w:r>
      <w:bookmarkEnd w:id="100062"/>
    </w:p>
    <w:p>
      <w:pPr>
        <w:spacing w:after="160" w:line="360"/>
        <w:ind w:firstLine="480"/>
        <w:jc w:val="both"/>
      </w:pPr>
      <w:r>
        <w:rPr>
          <w:rFonts w:ascii="Cairo" w:eastAsia="Cairo"/>
          <w:color w:val="1a1a2e"/>
          <w:sz w:val="24"/>
          <w:szCs w:val="24"/>
        </w:rPr>
        <w:t xml:space="preserve">تظهر لوحة التحكم عند فتح التطبيق وتحتوي على: أربعة كروت ملخصة في الأعلى (إجمالي المبيعات، إجمالي المشتريات، رصيد الخزينة، عدد الأصناف). رسم بياني خطي يظهر اتجاه المبيعات خلال آخر 30 يوماً. جدول آخر 5 فواتير صادرة. قائمة بالمهام العاجلة (أصناف منخفضة، أرصدة متأخرة).</w:t>
      </w:r>
    </w:p>
    <w:p>
      <w:pPr>
        <w:pStyle w:val="Heading2"/>
        <w:spacing w:after="150" w:before="300" w:line="340"/>
        <w:jc w:val="right"/>
      </w:pPr>
      <w:bookmarkStart w:id="100063" w:name="_Toc100063"/>
      <w:r>
        <w:rPr>
          <w:rFonts w:ascii="Cairo" w:eastAsia="Cairo"/>
          <w:b/>
          <w:bCs/>
          <w:color w:val="0a9396"/>
          <w:sz w:val="30"/>
          <w:szCs w:val="30"/>
        </w:rPr>
        <w:t xml:space="preserve">7.7 نماذج الإدخال (Form Designs)</w:t>
      </w:r>
      <w:bookmarkEnd w:id="100063"/>
    </w:p>
    <w:p>
      <w:pPr>
        <w:spacing w:after="160" w:line="360"/>
        <w:ind w:firstLine="480"/>
        <w:jc w:val="both"/>
      </w:pPr>
      <w:r>
        <w:rPr>
          <w:rFonts w:ascii="Cairo" w:eastAsia="Cairo"/>
          <w:color w:val="1a1a2e"/>
          <w:sz w:val="24"/>
          <w:szCs w:val="24"/>
        </w:rPr>
        <w:t xml:space="preserve">تتبع جميع النماذج نمطاً موحداً: عنوان واضح في الأعلى مع أزرار الإجراءات (حفظ، إلغاء). حقول الإدخال مرتبة في مجموعات منطقية مع تسميات فوق كل حقل. التحقق من البيانات يظهر فوراً عند مغادرة الحقل (on blur). الأزرار الرئيسية بلون أزرق سماوي (#00b4d8) مع تأثير hover أغمق. الأزرار الثانوية بلون رمادي أو حدود فقط.</w:t>
      </w:r>
    </w:p>
    <w:p>
      <w:pPr>
        <w:pStyle w:val="Heading1"/>
        <w:spacing w:after="200" w:before="400" w:line="360"/>
        <w:jc w:val="right"/>
      </w:pPr>
      <w:bookmarkStart w:id="100064" w:name="_Toc100064"/>
      <w:r>
        <w:rPr>
          <w:rFonts w:ascii="Cairo" w:eastAsia="Cairo"/>
          <w:b/>
          <w:bCs/>
          <w:color w:val="005f73"/>
          <w:sz w:val="36"/>
          <w:szCs w:val="36"/>
        </w:rPr>
        <w:t xml:space="preserve">8. وصف الوحدات الوظيفية (Functional Modules Description)</w:t>
      </w:r>
      <w:bookmarkEnd w:id="100064"/>
    </w:p>
    <w:p>
      <w:pPr>
        <w:pStyle w:val="Heading2"/>
        <w:spacing w:after="150" w:before="300" w:line="340"/>
        <w:jc w:val="right"/>
      </w:pPr>
      <w:bookmarkStart w:id="100065" w:name="_Toc100065"/>
      <w:r>
        <w:rPr>
          <w:rFonts w:ascii="Cairo" w:eastAsia="Cairo"/>
          <w:b/>
          <w:bCs/>
          <w:color w:val="0a9396"/>
          <w:sz w:val="30"/>
          <w:szCs w:val="30"/>
        </w:rPr>
        <w:t xml:space="preserve">8.1 وحدة لوحة التحكم (Dashboard Module)</w:t>
      </w:r>
      <w:bookmarkEnd w:id="100065"/>
    </w:p>
    <w:p>
      <w:pPr>
        <w:spacing w:after="160" w:line="360"/>
        <w:ind w:firstLine="480"/>
        <w:jc w:val="both"/>
      </w:pPr>
      <w:r>
        <w:rPr>
          <w:rFonts w:ascii="Cairo" w:eastAsia="Cairo"/>
          <w:color w:val="1a1a2e"/>
          <w:sz w:val="24"/>
          <w:szCs w:val="24"/>
        </w:rPr>
        <w:t xml:space="preserve">وحدة لوحة التحكم هي نقطة الانطلاق الرئيسية للمستخدم بعد تسجيل الدخول. توفر نظرة شاملة فورية على حالة الشركة المالية والتشغيلية. تتضمن مؤشرات الأداء الرئيسية (KPIs) التي تُحدث تلقائياً عند حدوث أي عملية جديدة. الهدف من هذه الوحدة هو تمكين صانع القرار من الحصول على المعلومات الحرجة في لمحة بصرية واحدة دون الحاجة للتنقل بين الأقسام المختلفة.</w:t>
      </w:r>
    </w:p>
    <w:p>
      <w:pPr>
        <w:pStyle w:val="Heading2"/>
        <w:spacing w:after="150" w:before="300" w:line="340"/>
        <w:jc w:val="right"/>
      </w:pPr>
      <w:bookmarkStart w:id="100066" w:name="_Toc100066"/>
      <w:r>
        <w:rPr>
          <w:rFonts w:ascii="Cairo" w:eastAsia="Cairo"/>
          <w:b/>
          <w:bCs/>
          <w:color w:val="0a9396"/>
          <w:sz w:val="30"/>
          <w:szCs w:val="30"/>
        </w:rPr>
        <w:t xml:space="preserve">8.2 وحدة المبيعات (Sales Module)</w:t>
      </w:r>
      <w:bookmarkEnd w:id="100066"/>
    </w:p>
    <w:p>
      <w:pPr>
        <w:pStyle w:val="Heading3"/>
        <w:spacing w:after="120" w:before="240" w:line="320"/>
        <w:jc w:val="right"/>
      </w:pPr>
      <w:bookmarkStart w:id="100067" w:name="_Toc100067"/>
      <w:r>
        <w:rPr>
          <w:rFonts w:ascii="Cairo" w:eastAsia="Cairo"/>
          <w:b/>
          <w:bCs/>
          <w:color w:val="1a1a2e"/>
          <w:sz w:val="26"/>
          <w:szCs w:val="26"/>
        </w:rPr>
        <w:t xml:space="preserve">8.2.1 قائمة الفواتير</w:t>
      </w:r>
      <w:bookmarkEnd w:id="100067"/>
    </w:p>
    <w:p>
      <w:pPr>
        <w:spacing w:after="160" w:line="360"/>
        <w:ind w:firstLine="480"/>
        <w:jc w:val="both"/>
      </w:pPr>
      <w:r>
        <w:rPr>
          <w:rFonts w:ascii="Cairo" w:eastAsia="Cairo"/>
          <w:color w:val="1a1a2e"/>
          <w:sz w:val="24"/>
          <w:szCs w:val="24"/>
        </w:rPr>
        <w:t xml:space="preserve">تعرض قائمة بجميع فواتير المبيعات مرتبة من الأحدث للأقدم. تتضمن فلترات للتاريخ، الحالة (مسودة/مرحلة/ملغاة)، العميل. كل صف يظهر: رقم الفاتورة، تاريخها، اسم العميل، الإجمالي، الحالة، أزرار إجراءات (عرض، طباعة، إلغاء). زر بارز 'فاتورة جديدة' في الأعلى.</w:t>
      </w:r>
    </w:p>
    <w:p>
      <w:pPr>
        <w:pStyle w:val="Heading3"/>
        <w:spacing w:after="120" w:before="240" w:line="320"/>
        <w:jc w:val="right"/>
      </w:pPr>
      <w:bookmarkStart w:id="100068" w:name="_Toc100068"/>
      <w:r>
        <w:rPr>
          <w:rFonts w:ascii="Cairo" w:eastAsia="Cairo"/>
          <w:b/>
          <w:bCs/>
          <w:color w:val="1a1a2e"/>
          <w:sz w:val="26"/>
          <w:szCs w:val="26"/>
        </w:rPr>
        <w:t xml:space="preserve">8.2.2 نموذج الفاتورة</w:t>
      </w:r>
      <w:bookmarkEnd w:id="100068"/>
    </w:p>
    <w:p>
      <w:pPr>
        <w:spacing w:after="160" w:line="360"/>
        <w:ind w:firstLine="480"/>
        <w:jc w:val="both"/>
      </w:pPr>
      <w:r>
        <w:rPr>
          <w:rFonts w:ascii="Cairo" w:eastAsia="Cairo"/>
          <w:color w:val="1a1a2e"/>
          <w:sz w:val="24"/>
          <w:szCs w:val="24"/>
        </w:rPr>
        <w:t xml:space="preserve">شاشة إنشاء/تعديل الفاتورة مقسمة لأقسام: الرأس (أزرار حفظ/طباعة، اختيار العميل مع زر + للإضافة السريعة، التاريخ، نوع الفاتورة). جدول الأصناف (بحث بالاسم أو الباركود، الكمية قابلة للتعديل، السعر، الإجمالي، زر حذف). الذيل (طريقة السداد: نقداً/جزئي/آجل، حقل المبلغ المدفوع إذا جزئي، تفعيل الضريبة مع النسبة، حقل الخصم، الإجمالي النهائي).</w:t>
      </w:r>
    </w:p>
    <w:p>
      <w:pPr>
        <w:pStyle w:val="Heading2"/>
        <w:spacing w:after="150" w:before="300" w:line="340"/>
        <w:jc w:val="right"/>
      </w:pPr>
      <w:bookmarkStart w:id="100069" w:name="_Toc100069"/>
      <w:r>
        <w:rPr>
          <w:rFonts w:ascii="Cairo" w:eastAsia="Cairo"/>
          <w:b/>
          <w:bCs/>
          <w:color w:val="0a9396"/>
          <w:sz w:val="30"/>
          <w:szCs w:val="30"/>
        </w:rPr>
        <w:t xml:space="preserve">8.3 وحدة المشتريات (Purchases Module)</w:t>
      </w:r>
      <w:bookmarkEnd w:id="100069"/>
    </w:p>
    <w:p>
      <w:pPr>
        <w:spacing w:after="160" w:line="360"/>
        <w:ind w:firstLine="480"/>
        <w:jc w:val="both"/>
      </w:pPr>
      <w:r>
        <w:rPr>
          <w:rFonts w:ascii="Cairo" w:eastAsia="Cairo"/>
          <w:color w:val="1a1a2e"/>
          <w:sz w:val="24"/>
          <w:szCs w:val="24"/>
        </w:rPr>
        <w:t xml:space="preserve">تشبه وحدة المشتريات وحدة المبيعات مع اختلافات جوهرية: نوع الفاتورة الافتراضي هو 'مشتريات' بدلاً من 'مبيعات'. إضافة صنف جديد مباشرة من نموذج الفاتورة (زر + بجانب البحث). الطرف المختار هو مورد وليس عميل. التأثير المحاسبي معكوس (خصم من الخزينة، إضافة لرصيد المورد في حالة الآجل).</w:t>
      </w:r>
    </w:p>
    <w:p>
      <w:pPr>
        <w:pStyle w:val="Heading2"/>
        <w:spacing w:after="150" w:before="300" w:line="340"/>
        <w:jc w:val="right"/>
      </w:pPr>
      <w:bookmarkStart w:id="100070" w:name="_Toc100070"/>
      <w:r>
        <w:rPr>
          <w:rFonts w:ascii="Cairo" w:eastAsia="Cairo"/>
          <w:b/>
          <w:bCs/>
          <w:color w:val="0a9396"/>
          <w:sz w:val="30"/>
          <w:szCs w:val="30"/>
        </w:rPr>
        <w:t xml:space="preserve">8.4 وحدة المخزون (Inventory Module)</w:t>
      </w:r>
      <w:bookmarkEnd w:id="100070"/>
    </w:p>
    <w:p>
      <w:pPr>
        <w:pStyle w:val="Heading3"/>
        <w:spacing w:after="120" w:before="240" w:line="320"/>
        <w:jc w:val="right"/>
      </w:pPr>
      <w:bookmarkStart w:id="100071" w:name="_Toc100071"/>
      <w:r>
        <w:rPr>
          <w:rFonts w:ascii="Cairo" w:eastAsia="Cairo"/>
          <w:b/>
          <w:bCs/>
          <w:color w:val="1a1a2e"/>
          <w:sz w:val="26"/>
          <w:szCs w:val="26"/>
        </w:rPr>
        <w:t xml:space="preserve">8.4.1 إدارة الأصناف</w:t>
      </w:r>
      <w:bookmarkEnd w:id="100071"/>
    </w:p>
    <w:p>
      <w:pPr>
        <w:spacing w:after="160" w:line="360"/>
        <w:ind w:firstLine="480"/>
        <w:jc w:val="both"/>
      </w:pPr>
      <w:r>
        <w:rPr>
          <w:rFonts w:ascii="Cairo" w:eastAsia="Cairo"/>
          <w:color w:val="1a1a2e"/>
          <w:sz w:val="24"/>
          <w:szCs w:val="24"/>
        </w:rPr>
        <w:t xml:space="preserve">قائمة بجميع الأصناف مع فلتر حسب التصنيف أو المخزن أو حالة التفعيل. جدول يعرض: الكود، الاسم، التصنيف، السعر، الكمية المتاحة، الحد الأدنى، حالة التنبيه. نافذة إضافة/تعديل تحتوي على جميع حقول الصنف مع توليد تلقائي للكود.</w:t>
      </w:r>
    </w:p>
    <w:p>
      <w:pPr>
        <w:pStyle w:val="Heading3"/>
        <w:spacing w:after="120" w:before="240" w:line="320"/>
        <w:jc w:val="right"/>
      </w:pPr>
      <w:bookmarkStart w:id="100072" w:name="_Toc100072"/>
      <w:r>
        <w:rPr>
          <w:rFonts w:ascii="Cairo" w:eastAsia="Cairo"/>
          <w:b/>
          <w:bCs/>
          <w:color w:val="1a1a2e"/>
          <w:sz w:val="26"/>
          <w:szCs w:val="26"/>
        </w:rPr>
        <w:t xml:space="preserve">8.4.2 إدارة المخازن</w:t>
      </w:r>
      <w:bookmarkEnd w:id="100072"/>
    </w:p>
    <w:p>
      <w:pPr>
        <w:spacing w:after="160" w:line="360"/>
        <w:ind w:firstLine="480"/>
        <w:jc w:val="both"/>
      </w:pPr>
      <w:r>
        <w:rPr>
          <w:rFonts w:ascii="Cairo" w:eastAsia="Cairo"/>
          <w:color w:val="1a1a2e"/>
          <w:sz w:val="24"/>
          <w:szCs w:val="24"/>
        </w:rPr>
        <w:t xml:space="preserve">تبويب منفصل لإدارة المخازن: إضافة مخزن جديد، تعديل بياناته، تفعيل/تعطيله. عرض عدد الأصناف في كل مخزن.</w:t>
      </w:r>
    </w:p>
    <w:p>
      <w:pPr>
        <w:pStyle w:val="Heading2"/>
        <w:spacing w:after="150" w:before="300" w:line="340"/>
        <w:jc w:val="right"/>
      </w:pPr>
      <w:bookmarkStart w:id="100073" w:name="_Toc100073"/>
      <w:r>
        <w:rPr>
          <w:rFonts w:ascii="Cairo" w:eastAsia="Cairo"/>
          <w:b/>
          <w:bCs/>
          <w:color w:val="0a9396"/>
          <w:sz w:val="30"/>
          <w:szCs w:val="30"/>
        </w:rPr>
        <w:t xml:space="preserve">8.5 وحدة الأطراف (Parties Module)</w:t>
      </w:r>
      <w:bookmarkEnd w:id="100073"/>
    </w:p>
    <w:p>
      <w:pPr>
        <w:pStyle w:val="Heading3"/>
        <w:spacing w:after="120" w:before="240" w:line="320"/>
        <w:jc w:val="right"/>
      </w:pPr>
      <w:bookmarkStart w:id="100074" w:name="_Toc100074"/>
      <w:r>
        <w:rPr>
          <w:rFonts w:ascii="Cairo" w:eastAsia="Cairo"/>
          <w:b/>
          <w:bCs/>
          <w:color w:val="1a1a2e"/>
          <w:sz w:val="26"/>
          <w:szCs w:val="26"/>
        </w:rPr>
        <w:t xml:space="preserve">8.5.1 قائمة الأطراف</w:t>
      </w:r>
      <w:bookmarkEnd w:id="100074"/>
    </w:p>
    <w:p>
      <w:pPr>
        <w:spacing w:after="160" w:line="360"/>
        <w:ind w:firstLine="480"/>
        <w:jc w:val="both"/>
      </w:pPr>
      <w:r>
        <w:rPr>
          <w:rFonts w:ascii="Cairo" w:eastAsia="Cairo"/>
          <w:color w:val="1a1a2e"/>
          <w:sz w:val="24"/>
          <w:szCs w:val="24"/>
        </w:rPr>
        <w:t xml:space="preserve">فلتر علوي للتبديل بين (الكل / عملاء / موردين / كلاهما). عرض كبطاقات أو جدول. كل بطاقة تظهر: الاسم، النوع، الرصيد الحالي (أخضر للمدين، أحمر للدائن)، أزرار (كشف حساب، تعديل، تعطيل).</w:t>
      </w:r>
    </w:p>
    <w:p>
      <w:pPr>
        <w:pStyle w:val="Heading3"/>
        <w:spacing w:after="120" w:before="240" w:line="320"/>
        <w:jc w:val="right"/>
      </w:pPr>
      <w:bookmarkStart w:id="100075" w:name="_Toc100075"/>
      <w:r>
        <w:rPr>
          <w:rFonts w:ascii="Cairo" w:eastAsia="Cairo"/>
          <w:b/>
          <w:bCs/>
          <w:color w:val="1a1a2e"/>
          <w:sz w:val="26"/>
          <w:szCs w:val="26"/>
        </w:rPr>
        <w:t xml:space="preserve">8.5.2 كشف الحساب</w:t>
      </w:r>
      <w:bookmarkEnd w:id="100075"/>
    </w:p>
    <w:p>
      <w:pPr>
        <w:spacing w:after="160" w:line="360"/>
        <w:ind w:firstLine="480"/>
        <w:jc w:val="both"/>
      </w:pPr>
      <w:r>
        <w:rPr>
          <w:rFonts w:ascii="Cairo" w:eastAsia="Cairo"/>
          <w:color w:val="1a1a2e"/>
          <w:sz w:val="24"/>
          <w:szCs w:val="24"/>
        </w:rPr>
        <w:t xml:space="preserve">صفحة أو نافذة منبثقة تعرض تاريخ الحركة للطرف المختار: كل فاتورة (مبيعات/مشتريات) مع الرصيد بعد كل عملية، عمليات السداد، المردودات. رصيد متراكم في الأسفل.</w:t>
      </w:r>
    </w:p>
    <w:p>
      <w:pPr>
        <w:pStyle w:val="Heading2"/>
        <w:spacing w:after="150" w:before="300" w:line="340"/>
        <w:jc w:val="right"/>
      </w:pPr>
      <w:bookmarkStart w:id="100076" w:name="_Toc100076"/>
      <w:r>
        <w:rPr>
          <w:rFonts w:ascii="Cairo" w:eastAsia="Cairo"/>
          <w:b/>
          <w:bCs/>
          <w:color w:val="0a9396"/>
          <w:sz w:val="30"/>
          <w:szCs w:val="30"/>
        </w:rPr>
        <w:t xml:space="preserve">8.6 وحدة الخزينة (Treasury Module)</w:t>
      </w:r>
      <w:bookmarkEnd w:id="100076"/>
    </w:p>
    <w:p>
      <w:pPr>
        <w:spacing w:after="160" w:line="360"/>
        <w:ind w:firstLine="480"/>
        <w:jc w:val="both"/>
      </w:pPr>
      <w:r>
        <w:rPr>
          <w:rFonts w:ascii="Cairo" w:eastAsia="Cairo"/>
          <w:color w:val="1a1a2e"/>
          <w:sz w:val="24"/>
          <w:szCs w:val="24"/>
        </w:rPr>
        <w:t xml:space="preserve">قائمة بجميع حركات الخزينة مرتبة زمنياً. فلتر حسب Type (وارد/صادر) والتاريخ. زران بارزان: 'إضافة إيراد' و'إضافة مصروف'. نموذج الحركة: المبلغ، التاريخ، التصنيف (قائمة منسدلة: مصروفات إدارية، أجور، إيراد من عميل...)، اختيار الطرف المرتبط (اختياري).</w:t>
      </w:r>
    </w:p>
    <w:p>
      <w:pPr>
        <w:pStyle w:val="Heading2"/>
        <w:spacing w:after="150" w:before="300" w:line="340"/>
        <w:jc w:val="right"/>
      </w:pPr>
      <w:bookmarkStart w:id="100077" w:name="_Toc100077"/>
      <w:r>
        <w:rPr>
          <w:rFonts w:ascii="Cairo" w:eastAsia="Cairo"/>
          <w:b/>
          <w:bCs/>
          <w:color w:val="0a9396"/>
          <w:sz w:val="30"/>
          <w:szCs w:val="30"/>
        </w:rPr>
        <w:t xml:space="preserve">8.7 وحدة التقارير (Reports Module)</w:t>
      </w:r>
      <w:bookmarkEnd w:id="100077"/>
    </w:p>
    <w:p>
      <w:pPr>
        <w:spacing w:after="160" w:line="360"/>
        <w:ind w:firstLine="480"/>
        <w:jc w:val="both"/>
      </w:pPr>
      <w:r>
        <w:rPr>
          <w:rFonts w:ascii="Cairo" w:eastAsia="Cairo"/>
          <w:color w:val="1a1a2e"/>
          <w:sz w:val="24"/>
          <w:szCs w:val="24"/>
        </w:rPr>
        <w:t xml:space="preserve">قائمة بالتقارير المتاحة: قائمة الدخل (Income Statement) - الإيرادات والمصروفات وصافي الربح. الميزانية العمومية (Balance Sheet) - الأصول والالتزامات وحقوق الملكية. تقرير المبيعات - حسب الفترة مع تفاصيل الفواتير. تقرير المشتريات - حسب الفترة. تقرير المصروفات - مصنف حسب النوع. كل تقرير يوفر: فلتر تاريخ، عرض جدولي، زر طباعة، زر تصدير PDF.</w:t>
      </w:r>
    </w:p>
    <w:p>
      <w:pPr>
        <w:pStyle w:val="Heading2"/>
        <w:spacing w:after="150" w:before="300" w:line="340"/>
        <w:jc w:val="right"/>
      </w:pPr>
      <w:bookmarkStart w:id="100078" w:name="_Toc100078"/>
      <w:r>
        <w:rPr>
          <w:rFonts w:ascii="Cairo" w:eastAsia="Cairo"/>
          <w:b/>
          <w:bCs/>
          <w:color w:val="0a9396"/>
          <w:sz w:val="30"/>
          <w:szCs w:val="30"/>
        </w:rPr>
        <w:t xml:space="preserve">8.8 وحدة الإعدادات (Settings Module)</w:t>
      </w:r>
      <w:bookmarkEnd w:id="100078"/>
    </w:p>
    <w:p>
      <w:pPr>
        <w:spacing w:after="160" w:line="360"/>
        <w:ind w:firstLine="480"/>
        <w:jc w:val="both"/>
      </w:pPr>
      <w:r>
        <w:rPr>
          <w:rFonts w:ascii="Cairo" w:eastAsia="Cairo"/>
          <w:color w:val="1a1a2e"/>
          <w:sz w:val="24"/>
          <w:szCs w:val="24"/>
        </w:rPr>
        <w:t xml:space="preserve">مقسمة لتبويبات: بيانات الشركة (الاسم، الشعار، العنوان، الهاتف، الإيميل). الإعدادات العامة (العملة، بادئات الفواتير). البيانات الأساسية (إدارة المخازن، التصنيفات، الوحدات). المستخدمين (CRUD كامل، تحديد الصلاحيات). النسخ الاحتياطي (تصدير .sqlite، استيراد). عن التطبيق (الإصدار، المطور، طرق التواصل).</w:t>
      </w:r>
    </w:p>
    <w:p>
      <w:pPr>
        <w:pStyle w:val="Heading1"/>
        <w:spacing w:after="200" w:before="400" w:line="360"/>
        <w:jc w:val="right"/>
      </w:pPr>
      <w:bookmarkStart w:id="100079" w:name="_Toc100079"/>
      <w:r>
        <w:rPr>
          <w:rFonts w:ascii="Cairo" w:eastAsia="Cairo"/>
          <w:b/>
          <w:bCs/>
          <w:color w:val="005f73"/>
          <w:sz w:val="36"/>
          <w:szCs w:val="36"/>
        </w:rPr>
        <w:t xml:space="preserve">9. المنطق التجاري والحسابات (Business Logic &amp; Calculations)</w:t>
      </w:r>
      <w:bookmarkEnd w:id="100079"/>
    </w:p>
    <w:p>
      <w:pPr>
        <w:pStyle w:val="Heading2"/>
        <w:spacing w:after="150" w:before="300" w:line="340"/>
        <w:jc w:val="right"/>
      </w:pPr>
      <w:bookmarkStart w:id="100080" w:name="_Toc100080"/>
      <w:r>
        <w:rPr>
          <w:rFonts w:ascii="Cairo" w:eastAsia="Cairo"/>
          <w:b/>
          <w:bCs/>
          <w:color w:val="0a9396"/>
          <w:sz w:val="30"/>
          <w:szCs w:val="30"/>
        </w:rPr>
        <w:t xml:space="preserve">9.1 منطق السداد وأنواع الدفع</w:t>
      </w:r>
      <w:bookmarkEnd w:id="100080"/>
    </w:p>
    <w:p>
      <w:pPr>
        <w:spacing w:after="160" w:line="360"/>
        <w:ind w:firstLine="480"/>
        <w:jc w:val="both"/>
      </w:pPr>
      <w:r>
        <w:rPr>
          <w:rFonts w:ascii="Cairo" w:eastAsia="Cairo"/>
          <w:color w:val="1a1a2e"/>
          <w:sz w:val="24"/>
          <w:szCs w:val="24"/>
        </w:rPr>
        <w:t xml:space="preserve">يدعم النظام ثلاثة أنواع رئيسية للسداد، ولكل منها تأثيرات محاسبية مختلفة على الخزينة وحسابات الأطراف. فهم هذا المنطق ضروري لضمان صحة القوائم المالية.</w:t>
      </w:r>
    </w:p>
    <w:p>
      <w:pPr>
        <w:pStyle w:val="Heading3"/>
        <w:spacing w:after="120" w:before="240" w:line="320"/>
        <w:jc w:val="right"/>
      </w:pPr>
      <w:bookmarkStart w:id="100081" w:name="_Toc100081"/>
      <w:r>
        <w:rPr>
          <w:rFonts w:ascii="Cairo" w:eastAsia="Cairo"/>
          <w:b/>
          <w:bCs/>
          <w:color w:val="1a1a2e"/>
          <w:sz w:val="26"/>
          <w:szCs w:val="26"/>
        </w:rPr>
        <w:t xml:space="preserve">9.1.1 الدفع النقدي (Cash Payment)</w:t>
      </w:r>
      <w:bookmarkEnd w:id="100081"/>
    </w:p>
    <w:p>
      <w:pPr>
        <w:spacing w:after="160" w:line="360"/>
        <w:ind w:firstLine="480"/>
        <w:jc w:val="both"/>
      </w:pPr>
      <w:r>
        <w:rPr>
          <w:rFonts w:ascii="Cairo" w:eastAsia="Cairo"/>
          <w:color w:val="1a1a2e"/>
          <w:sz w:val="24"/>
          <w:szCs w:val="24"/>
        </w:rPr>
        <w:t xml:space="preserve">عند اختيار الدفع النقدي: المدفوع = إجمالي الفاتورة بالكامل. تأثير الخزينة: في المبيعات يُضاف مبلغ وارد (+)، في المشتريات يُخصم مبلغ صادر (-). تأثير حساب الطرف: لا يتغير الرصيد (العملية خالصة). مثال عملي: فاتورة مبيعات 1000 ريال نقداً → الخزينة +1000، رصيد العميل لا يتغير.</w:t>
      </w:r>
    </w:p>
    <w:p>
      <w:pPr>
        <w:pStyle w:val="Heading3"/>
        <w:spacing w:after="120" w:before="240" w:line="320"/>
        <w:jc w:val="right"/>
      </w:pPr>
      <w:bookmarkStart w:id="100082" w:name="_Toc100082"/>
      <w:r>
        <w:rPr>
          <w:rFonts w:ascii="Cairo" w:eastAsia="Cairo"/>
          <w:b/>
          <w:bCs/>
          <w:color w:val="1a1a2e"/>
          <w:sz w:val="26"/>
          <w:szCs w:val="26"/>
        </w:rPr>
        <w:t xml:space="preserve">9.1.2 الدفع الجزئي (Partial Payment)</w:t>
      </w:r>
      <w:bookmarkEnd w:id="100082"/>
    </w:p>
    <w:p>
      <w:pPr>
        <w:spacing w:after="160" w:line="360"/>
        <w:ind w:firstLine="480"/>
        <w:jc w:val="both"/>
      </w:pPr>
      <w:r>
        <w:rPr>
          <w:rFonts w:ascii="Cairo" w:eastAsia="Cairo"/>
          <w:color w:val="1a1a2e"/>
          <w:sz w:val="24"/>
          <w:szCs w:val="24"/>
        </w:rPr>
        <w:t xml:space="preserve">عند اختيار الدفع الجزئي: المدفوع = المبلغ المُدخل يدوياً (أقل من الإجمالي). المتبقي = الإجمالي - المدفوع. تأثير الخزينة: يُضاف/يُخصم المبلغ المدفوع فقط. تأثير حساب الطرف: المتبقي يُضاف كرصيد دين على العميل (في المبيعات) أو رصيد دائن للمورد (في المشتريات). مثال: فاتورة 1000 ريال، مدفوع 400 → الخزينة +400، رصيد العميل +600 (دين).</w:t>
      </w:r>
    </w:p>
    <w:p>
      <w:pPr>
        <w:pStyle w:val="Heading3"/>
        <w:spacing w:after="120" w:before="240" w:line="320"/>
        <w:jc w:val="right"/>
      </w:pPr>
      <w:bookmarkStart w:id="100083" w:name="_Toc100083"/>
      <w:r>
        <w:rPr>
          <w:rFonts w:ascii="Cairo" w:eastAsia="Cairo"/>
          <w:b/>
          <w:bCs/>
          <w:color w:val="1a1a2e"/>
          <w:sz w:val="26"/>
          <w:szCs w:val="26"/>
        </w:rPr>
        <w:t xml:space="preserve">9.1.3 الدفع الآجل (Credit Payment)</w:t>
      </w:r>
      <w:bookmarkEnd w:id="100083"/>
    </w:p>
    <w:p>
      <w:pPr>
        <w:spacing w:after="160" w:line="360"/>
        <w:ind w:firstLine="480"/>
        <w:jc w:val="both"/>
      </w:pPr>
      <w:r>
        <w:rPr>
          <w:rFonts w:ascii="Cairo" w:eastAsia="Cairo"/>
          <w:color w:val="1a1a2e"/>
          <w:sz w:val="24"/>
          <w:szCs w:val="24"/>
        </w:rPr>
        <w:t xml:space="preserve">عند اختيار الدفع الآجل: المدفوع = 0. تأثير الخزينة: لا يوجد أي تأثير فوري. تأثير حساب الطرف: إجمالي الفاتورة بالكامل يُضاف لحساب الطرف. مثال: فاتورة 1000 ريال آجل → الخزينة 0، رصيد العميل +1000 (دين). عند السداد لاحقاً تُسجل حركة خزينة منفصلة ويُخصم الدين.</w:t>
      </w:r>
    </w:p>
    <w:p>
      <w:pPr>
        <w:pStyle w:val="Heading2"/>
        <w:spacing w:after="150" w:before="300" w:line="340"/>
        <w:jc w:val="right"/>
      </w:pPr>
      <w:bookmarkStart w:id="100084" w:name="_Toc100084"/>
      <w:r>
        <w:rPr>
          <w:rFonts w:ascii="Cairo" w:eastAsia="Cairo"/>
          <w:b/>
          <w:bCs/>
          <w:color w:val="0a9396"/>
          <w:sz w:val="30"/>
          <w:szCs w:val="30"/>
        </w:rPr>
        <w:t xml:space="preserve">9.2 منطق المردودات (Returns Logic)</w:t>
      </w:r>
      <w:bookmarkEnd w:id="100084"/>
    </w:p>
    <w:p>
      <w:pPr>
        <w:spacing w:after="160" w:line="360"/>
        <w:ind w:firstLine="480"/>
        <w:jc w:val="both"/>
      </w:pPr>
      <w:r>
        <w:rPr>
          <w:rFonts w:ascii="Cairo" w:eastAsia="Cairo"/>
          <w:color w:val="1a1a2e"/>
          <w:sz w:val="24"/>
          <w:szCs w:val="24"/>
        </w:rPr>
        <w:t xml:space="preserve">المردودات تُعكس العمليات الحسابية للفاتورة الأصلية بشكل كامل. مردود مبيعات: يُرجع المخزون (يُضاف للكمية)، يُرجع المبلغ للعميل إن كان نقداً (خزينة -)، يُخصم من دين العميل إن كان آجلاً. مردود مشتريات: يُخصم من المخزون، يُسترد المبلغ من المورد إن كان نقداً (خزينة +)، يُخصم من دين المورد إن كان آجلاً.</w:t>
      </w:r>
    </w:p>
    <w:p>
      <w:pPr>
        <w:pStyle w:val="Heading2"/>
        <w:spacing w:after="150" w:before="300" w:line="340"/>
        <w:jc w:val="right"/>
      </w:pPr>
      <w:bookmarkStart w:id="100085" w:name="_Toc100085"/>
      <w:r>
        <w:rPr>
          <w:rFonts w:ascii="Cairo" w:eastAsia="Cairo"/>
          <w:b/>
          <w:bCs/>
          <w:color w:val="0a9396"/>
          <w:sz w:val="30"/>
          <w:szCs w:val="30"/>
        </w:rPr>
        <w:t xml:space="preserve">9.3 تحديث المخزون (Inventory Updates)</w:t>
      </w:r>
      <w:bookmarkEnd w:id="100085"/>
    </w:p>
    <w:p>
      <w:pPr>
        <w:spacing w:after="160" w:line="360"/>
        <w:ind w:firstLine="480"/>
        <w:jc w:val="both"/>
      </w:pPr>
      <w:r>
        <w:rPr>
          <w:rFonts w:ascii="Cairo" w:eastAsia="Cairo"/>
          <w:color w:val="1a1a2e"/>
          <w:sz w:val="24"/>
          <w:szCs w:val="24"/>
        </w:rPr>
        <w:t xml:space="preserve">يتم تحديث كميات الأصناف تلقائياً عند ترحيل الفاتورة (Posting): فاتورة مبيعات → يُخصم من كمية الصنف. فاتورة مشتريات → يُضاف لكمية الصنف. مردود مبيعات → يُضاف للكمية. مردود مشتريات → يُخصم من الكمية. التحقق من توفر الكمية قبل حفظ فاتورة المبيعات مع تنبيه إذا كانت الكمية غير كافية.</w:t>
      </w:r>
    </w:p>
    <w:p>
      <w:pPr>
        <w:pStyle w:val="Heading2"/>
        <w:spacing w:after="150" w:before="300" w:line="340"/>
        <w:jc w:val="right"/>
      </w:pPr>
      <w:bookmarkStart w:id="100086" w:name="_Toc100086"/>
      <w:r>
        <w:rPr>
          <w:rFonts w:ascii="Cairo" w:eastAsia="Cairo"/>
          <w:b/>
          <w:bCs/>
          <w:color w:val="0a9396"/>
          <w:sz w:val="30"/>
          <w:szCs w:val="30"/>
        </w:rPr>
        <w:t xml:space="preserve">9.4 حسابات الضريبة والخصم</w:t>
      </w:r>
      <w:bookmarkEnd w:id="100086"/>
    </w:p>
    <w:p>
      <w:pPr>
        <w:pStyle w:val="Heading3"/>
        <w:spacing w:after="120" w:before="240" w:line="320"/>
        <w:jc w:val="right"/>
      </w:pPr>
      <w:bookmarkStart w:id="100087" w:name="_Toc100087"/>
      <w:r>
        <w:rPr>
          <w:rFonts w:ascii="Cairo" w:eastAsia="Cairo"/>
          <w:b/>
          <w:bCs/>
          <w:color w:val="1a1a2e"/>
          <w:sz w:val="26"/>
          <w:szCs w:val="26"/>
        </w:rPr>
        <w:t xml:space="preserve">9.4.1 الضريبة</w:t>
      </w:r>
      <w:bookmarkEnd w:id="100087"/>
    </w:p>
    <w:p>
      <w:pPr>
        <w:spacing w:after="160" w:line="360"/>
        <w:ind w:firstLine="480"/>
        <w:jc w:val="both"/>
      </w:pPr>
      <w:r>
        <w:rPr>
          <w:rFonts w:ascii="Cairo" w:eastAsia="Cairo"/>
          <w:color w:val="1a1a2e"/>
          <w:sz w:val="24"/>
          <w:szCs w:val="24"/>
        </w:rPr>
        <w:t xml:space="preserve">الضريبة اختيارية (checkbox). عند تفعيلها: قيمة الضريبة = المجموع الفرعي × نسبة الضريبة / 100. الإجمالي = المجموع الفرعي + قيمة الضريبة - قيمة الخصم. الضريبة تُحسب بعد الخصم (إن وجد).</w:t>
      </w:r>
    </w:p>
    <w:p>
      <w:pPr>
        <w:pStyle w:val="Heading3"/>
        <w:spacing w:after="120" w:before="240" w:line="320"/>
        <w:jc w:val="right"/>
      </w:pPr>
      <w:bookmarkStart w:id="100088" w:name="_Toc100088"/>
      <w:r>
        <w:rPr>
          <w:rFonts w:ascii="Cairo" w:eastAsia="Cairo"/>
          <w:b/>
          <w:bCs/>
          <w:color w:val="1a1a2e"/>
          <w:sz w:val="26"/>
          <w:szCs w:val="26"/>
        </w:rPr>
        <w:t xml:space="preserve">9.4.2 الخصم</w:t>
      </w:r>
      <w:bookmarkEnd w:id="100088"/>
    </w:p>
    <w:p>
      <w:pPr>
        <w:spacing w:after="160" w:line="360"/>
        <w:ind w:firstLine="480"/>
        <w:jc w:val="both"/>
      </w:pPr>
      <w:r>
        <w:rPr>
          <w:rFonts w:ascii="Cairo" w:eastAsia="Cairo"/>
          <w:color w:val="1a1a2e"/>
          <w:sz w:val="24"/>
          <w:szCs w:val="24"/>
        </w:rPr>
        <w:t xml:space="preserve">يدعم نوعين من الخصم: خصم ثابت (Fixed): قيمة محددة مباشرة. خصم نسبي (Percentage): نسبة من المجموع الفرعي. ترتيب الحساب: المجموع الفرعي ← خصم ← ضريبة ← إجمالي نهائي.</w:t>
      </w:r>
    </w:p>
    <w:p>
      <w:pPr>
        <w:pStyle w:val="Heading2"/>
        <w:spacing w:after="150" w:before="300" w:line="340"/>
        <w:jc w:val="right"/>
      </w:pPr>
      <w:bookmarkStart w:id="100089" w:name="_Toc100089"/>
      <w:r>
        <w:rPr>
          <w:rFonts w:ascii="Cairo" w:eastAsia="Cairo"/>
          <w:b/>
          <w:bCs/>
          <w:color w:val="0a9396"/>
          <w:sz w:val="30"/>
          <w:szCs w:val="30"/>
        </w:rPr>
        <w:t xml:space="preserve">9.5 صيغ الحساب الرئيسية</w:t>
      </w:r>
      <w:bookmarkEnd w:id="100089"/>
    </w:p>
    <w:p>
      <w:pPr>
        <w:spacing w:after="160" w:line="360"/>
        <w:ind w:firstLine="480"/>
        <w:jc w:val="both"/>
      </w:pPr>
      <w:r>
        <w:rPr>
          <w:rFonts w:ascii="Cairo" w:eastAsia="Cairo"/>
          <w:color w:val="1a1a2e"/>
          <w:sz w:val="24"/>
          <w:szCs w:val="24"/>
        </w:rPr>
        <w:t xml:space="preserve">Subtotal = Σ(الكمية × سعر الوحدة) لكل صنف في الفاتورة</w:t>
      </w:r>
    </w:p>
    <w:p>
      <w:pPr>
        <w:spacing w:after="160" w:line="360"/>
        <w:ind w:firstLine="480"/>
        <w:jc w:val="both"/>
      </w:pPr>
      <w:r>
        <w:rPr>
          <w:rFonts w:ascii="Cairo" w:eastAsia="Cairo"/>
          <w:color w:val="1a1a2e"/>
          <w:sz w:val="24"/>
          <w:szCs w:val="24"/>
        </w:rPr>
        <w:t xml:space="preserve">Discount Amount = (نسبة الخصم% × Subtotal) أو قيمة ثابتة</w:t>
      </w:r>
    </w:p>
    <w:p>
      <w:pPr>
        <w:spacing w:after="160" w:line="360"/>
        <w:ind w:firstLine="480"/>
        <w:jc w:val="both"/>
      </w:pPr>
      <w:r>
        <w:rPr>
          <w:rFonts w:ascii="Cairo" w:eastAsia="Cairo"/>
          <w:color w:val="1a1a2e"/>
          <w:sz w:val="24"/>
          <w:szCs w:val="24"/>
        </w:rPr>
        <w:t xml:space="preserve">Taxable Amount = Subtotal - Discount Amount</w:t>
      </w:r>
    </w:p>
    <w:p>
      <w:pPr>
        <w:spacing w:after="160" w:line="360"/>
        <w:ind w:firstLine="480"/>
        <w:jc w:val="both"/>
      </w:pPr>
      <w:r>
        <w:rPr>
          <w:rFonts w:ascii="Cairo" w:eastAsia="Cairo"/>
          <w:color w:val="1a1a2e"/>
          <w:sz w:val="24"/>
          <w:szCs w:val="24"/>
        </w:rPr>
        <w:t xml:space="preserve">Tax Value = Taxable Amount × Tax Rate%</w:t>
      </w:r>
    </w:p>
    <w:p>
      <w:pPr>
        <w:spacing w:after="160" w:line="360"/>
        <w:ind w:firstLine="480"/>
        <w:jc w:val="both"/>
      </w:pPr>
      <w:r>
        <w:rPr>
          <w:rFonts w:ascii="Cairo" w:eastAsia="Cairo"/>
          <w:color w:val="1a1a2e"/>
          <w:sz w:val="24"/>
          <w:szCs w:val="24"/>
        </w:rPr>
        <w:t xml:space="preserve">Grand Total = Taxable Amount + Tax Value</w:t>
      </w:r>
    </w:p>
    <w:p>
      <w:pPr>
        <w:spacing w:after="160" w:line="360"/>
        <w:ind w:firstLine="480"/>
        <w:jc w:val="both"/>
      </w:pPr>
      <w:r>
        <w:rPr>
          <w:rFonts w:ascii="Cairo" w:eastAsia="Cairo"/>
          <w:color w:val="1a1a2e"/>
          <w:sz w:val="24"/>
          <w:szCs w:val="24"/>
        </w:rPr>
        <w:t xml:space="preserve">Remaining = Grand Total - Paid Amount</w:t>
      </w:r>
    </w:p>
    <w:p>
      <w:pPr>
        <w:pStyle w:val="Heading1"/>
        <w:spacing w:after="200" w:before="400" w:line="360"/>
        <w:jc w:val="right"/>
      </w:pPr>
      <w:bookmarkStart w:id="100090" w:name="_Toc100090"/>
      <w:r>
        <w:rPr>
          <w:rFonts w:ascii="Cairo" w:eastAsia="Cairo"/>
          <w:b/>
          <w:bCs/>
          <w:color w:val="005f73"/>
          <w:sz w:val="36"/>
          <w:szCs w:val="36"/>
        </w:rPr>
        <w:t xml:space="preserve">10. خطة التنفيذ والجدول الزمني (Implementation Plan &amp; Timeline)</w:t>
      </w:r>
      <w:bookmarkEnd w:id="100090"/>
    </w:p>
    <w:p>
      <w:pPr>
        <w:pStyle w:val="Heading2"/>
        <w:spacing w:after="150" w:before="300" w:line="340"/>
        <w:jc w:val="right"/>
      </w:pPr>
      <w:bookmarkStart w:id="100091" w:name="_Toc100091"/>
      <w:r>
        <w:rPr>
          <w:rFonts w:ascii="Cairo" w:eastAsia="Cairo"/>
          <w:b/>
          <w:bCs/>
          <w:color w:val="0a9396"/>
          <w:sz w:val="30"/>
          <w:szCs w:val="30"/>
        </w:rPr>
        <w:t xml:space="preserve">10.1 نظرة عامة على المراحل</w:t>
      </w:r>
      <w:bookmarkEnd w:id="100091"/>
    </w:p>
    <w:p>
      <w:pPr>
        <w:spacing w:after="160" w:line="360"/>
        <w:ind w:firstLine="480"/>
        <w:jc w:val="both"/>
      </w:pPr>
      <w:r>
        <w:rPr>
          <w:rFonts w:ascii="Cairo" w:eastAsia="Cairo"/>
          <w:color w:val="1a1a2e"/>
          <w:sz w:val="24"/>
          <w:szCs w:val="24"/>
        </w:rPr>
        <w:t xml:space="preserve">يمتد المشروع على 6 مراحل رئيسية تمتد لإجمالي 26 أسبوعاً (حوالي 6 أشهر). كل مرحلة لها مخرجات (Deliverables) محددة ومعايير قبول (Acceptance Criteria) واضحة. هذا التقسيم يسمح بمراقبة التقدم وإدارة المخاطر بشكل فعال.</w:t>
      </w:r>
    </w:p>
    <w:p>
      <w:pPr>
        <w:pStyle w:val="Heading2"/>
        <w:spacing w:after="150" w:before="300" w:line="340"/>
        <w:jc w:val="right"/>
      </w:pPr>
      <w:bookmarkStart w:id="100092" w:name="_Toc100092"/>
      <w:r>
        <w:rPr>
          <w:rFonts w:ascii="Cairo" w:eastAsia="Cairo"/>
          <w:b/>
          <w:bCs/>
          <w:color w:val="0a9396"/>
          <w:sz w:val="30"/>
          <w:szCs w:val="30"/>
        </w:rPr>
        <w:t xml:space="preserve">10.2 المرحلة الأولى: البنية التحتية (Weeks 1-4)</w:t>
      </w:r>
      <w:bookmarkEnd w:id="100092"/>
    </w:p>
    <w:p>
      <w:pPr>
        <w:spacing w:after="160" w:line="360"/>
        <w:ind w:firstLine="480"/>
        <w:jc w:val="both"/>
      </w:pPr>
      <w:r>
        <w:rPr>
          <w:rFonts w:ascii="Cairo" w:eastAsia="Cairo"/>
          <w:color w:val="1a1a2e"/>
          <w:sz w:val="24"/>
          <w:szCs w:val="24"/>
        </w:rPr>
        <w:t xml:space="preserve">الهدف: إعداد بيئة التطوير الأساسية والهيكل العظمي للمشروع. المخرجات: مشروع Electron قابل للتشغيل مع نافذة فارغة. إعداد SQLite مع الاتصال الأولي. هيكل المجلدات الكامل. إعدادات Vite و TailwindCSS و ESLint. نظام المصادقة الأساسي (تسجيل دخول/خروج). معايير القبول: التطبيق يُشغل ويظهر شاشة تسجيل دخول. قاعدة البيانات تُنشأ تلقائياً عند أول تشغيل.</w:t>
      </w:r>
    </w:p>
    <w:p>
      <w:pPr>
        <w:pStyle w:val="Heading2"/>
        <w:spacing w:after="150" w:before="300" w:line="340"/>
        <w:jc w:val="right"/>
      </w:pPr>
      <w:bookmarkStart w:id="100093" w:name="_Toc100093"/>
      <w:r>
        <w:rPr>
          <w:rFonts w:ascii="Cairo" w:eastAsia="Cairo"/>
          <w:b/>
          <w:bCs/>
          <w:color w:val="0a9396"/>
          <w:sz w:val="30"/>
          <w:szCs w:val="30"/>
        </w:rPr>
        <w:t xml:space="preserve">10.3 المرحلة الثانية: العمليات الأساسية (Weeks 5-9)</w:t>
      </w:r>
      <w:bookmarkEnd w:id="100093"/>
    </w:p>
    <w:p>
      <w:pPr>
        <w:spacing w:after="160" w:line="360"/>
        <w:ind w:firstLine="480"/>
        <w:jc w:val="both"/>
      </w:pPr>
      <w:r>
        <w:rPr>
          <w:rFonts w:ascii="Cairo" w:eastAsia="Cairo"/>
          <w:color w:val="1a1a2e"/>
          <w:sz w:val="24"/>
          <w:szCs w:val="24"/>
        </w:rPr>
        <w:t xml:space="preserve">الهدف: بناء وظائف CRUD الأساسية لجميع الكيانات. المخرجات: إدارة كاملة للمستخدمين (CRUD + صلاحيات). إدارة المخازن والتصنيفات والوحدات. إدارة الأصناف مع البحث والفلترة. إدارة الأطراف (عملاء/موردين). الشريط الجانبي والتنقل بين الأقسام. معايير القبول: يمكن إضافة/تعديل/حذف جميع الكيانات الأساسية. البحث يعمل بشكل صحيح. الصلاحيات تُطبق بشكل صحيح.</w:t>
      </w:r>
    </w:p>
    <w:p>
      <w:pPr>
        <w:pStyle w:val="Heading2"/>
        <w:spacing w:after="150" w:before="300" w:line="340"/>
        <w:jc w:val="right"/>
      </w:pPr>
      <w:bookmarkStart w:id="100094" w:name="_Toc100094"/>
      <w:r>
        <w:rPr>
          <w:rFonts w:ascii="Cairo" w:eastAsia="Cairo"/>
          <w:b/>
          <w:bCs/>
          <w:color w:val="0a9396"/>
          <w:sz w:val="30"/>
          <w:szCs w:val="30"/>
        </w:rPr>
        <w:t xml:space="preserve">10.4 المرحلة الثالثة: نظام الفواتير (Weeks 10-15)</w:t>
      </w:r>
      <w:bookmarkEnd w:id="100094"/>
    </w:p>
    <w:p>
      <w:pPr>
        <w:spacing w:after="160" w:line="360"/>
        <w:ind w:firstLine="480"/>
        <w:jc w:val="both"/>
      </w:pPr>
      <w:r>
        <w:rPr>
          <w:rFonts w:ascii="Cairo" w:eastAsia="Cairo"/>
          <w:color w:val="1a1a2e"/>
          <w:sz w:val="24"/>
          <w:szCs w:val="24"/>
        </w:rPr>
        <w:t xml:space="preserve">الهدف: بناء نظام الفواتير الكامل بأنواعه الأربعة. المخرجات: إنشاء/عرض/تعديل/حذف فواتير المبيعات. إنشاء/عرض فواتير المشتريات. نظام المردودات (مبيعات/مشتريات). البحث بالباركود. إضافة صنف سريع من فاتورة المشتريات. طباعة الفاتورة بتصميم احترافي. معايير القبول: جميع أنواع الفواتير تعمل. الطباعة تنتج ملف PDF واضح. الباركود يقرأ بشكل صحيح.</w:t>
      </w:r>
    </w:p>
    <w:p>
      <w:pPr>
        <w:pStyle w:val="Heading2"/>
        <w:spacing w:after="150" w:before="300" w:line="340"/>
        <w:jc w:val="right"/>
      </w:pPr>
      <w:bookmarkStart w:id="100095" w:name="_Toc100095"/>
      <w:r>
        <w:rPr>
          <w:rFonts w:ascii="Cairo" w:eastAsia="Cairo"/>
          <w:b/>
          <w:bCs/>
          <w:color w:val="0a9396"/>
          <w:sz w:val="30"/>
          <w:szCs w:val="30"/>
        </w:rPr>
        <w:t xml:space="preserve">10.5 المرحلة الرابعة: المنطق المالي (Weeks 16-19)</w:t>
      </w:r>
      <w:bookmarkEnd w:id="100095"/>
    </w:p>
    <w:p>
      <w:pPr>
        <w:spacing w:after="160" w:line="360"/>
        <w:ind w:firstLine="480"/>
        <w:jc w:val="both"/>
      </w:pPr>
      <w:r>
        <w:rPr>
          <w:rFonts w:ascii="Cairo" w:eastAsia="Cairo"/>
          <w:color w:val="1a1a2e"/>
          <w:sz w:val="24"/>
          <w:szCs w:val="24"/>
        </w:rPr>
        <w:t xml:space="preserve">الهدف: تنفيذ جميع الحسابات المالية وتحديثات المخزون. المخرجات: حسابات السداد الثلاثة (نقدي/جزئي/آجل). تحديث المخزون التلقائي. تحديث أرصدة الأطراف. حركات الخزينة التلقائية. الضريبة والخصم. التحقق من صحة الأرصيدة. معايير القبول: الفاتورة المُرحلة تُحدث جميع الحسابات. كشف الحساب يطابق العمليات الفعلية. رصيد الخزينة دقيق.</w:t>
      </w:r>
    </w:p>
    <w:p>
      <w:pPr>
        <w:pStyle w:val="Heading2"/>
        <w:spacing w:after="150" w:before="300" w:line="340"/>
        <w:jc w:val="right"/>
      </w:pPr>
      <w:bookmarkStart w:id="100096" w:name="_Toc100096"/>
      <w:r>
        <w:rPr>
          <w:rFonts w:ascii="Cairo" w:eastAsia="Cairo"/>
          <w:b/>
          <w:bCs/>
          <w:color w:val="0a9396"/>
          <w:sz w:val="30"/>
          <w:szCs w:val="30"/>
        </w:rPr>
        <w:t xml:space="preserve">10.6 المرحلة الخامسة: التقارير (Weeks 20-22)</w:t>
      </w:r>
      <w:bookmarkEnd w:id="100096"/>
    </w:p>
    <w:p>
      <w:pPr>
        <w:spacing w:after="160" w:line="360"/>
        <w:ind w:firstLine="480"/>
        <w:jc w:val="both"/>
      </w:pPr>
      <w:r>
        <w:rPr>
          <w:rFonts w:ascii="Cairo" w:eastAsia="Cairo"/>
          <w:color w:val="1a1a2e"/>
          <w:sz w:val="24"/>
          <w:szCs w:val="24"/>
        </w:rPr>
        <w:t xml:space="preserve">الهدف: بناء وحدة التقارير المالية. المخرجات: قائمة الدخل (Income Statement). الميزانية العمومية (Balance Sheet). تقرير المبيعات والمشتريات. تقرير المصروفات. تصدير PDF و Excel. معايير القبول: الأرقام في التقارير تطابق البيانات الفعلية. التصدير يعمل بشكل صحيح. الفلاتر (التاريخ) تعمل.</w:t>
      </w:r>
    </w:p>
    <w:p>
      <w:pPr>
        <w:pStyle w:val="Heading2"/>
        <w:spacing w:after="150" w:before="300" w:line="340"/>
        <w:jc w:val="right"/>
      </w:pPr>
      <w:bookmarkStart w:id="100097" w:name="_Toc100097"/>
      <w:r>
        <w:rPr>
          <w:rFonts w:ascii="Cairo" w:eastAsia="Cairo"/>
          <w:b/>
          <w:bCs/>
          <w:color w:val="0a9396"/>
          <w:sz w:val="30"/>
          <w:szCs w:val="30"/>
        </w:rPr>
        <w:t xml:space="preserve">10.7 المرحلة السادسة: الاختبار والإطلاق (Weeks 23-26)</w:t>
      </w:r>
      <w:bookmarkEnd w:id="100097"/>
    </w:p>
    <w:p>
      <w:pPr>
        <w:spacing w:after="160" w:line="360"/>
        <w:ind w:firstLine="480"/>
        <w:jc w:val="both"/>
      </w:pPr>
      <w:r>
        <w:rPr>
          <w:rFonts w:ascii="Cairo" w:eastAsia="Cairo"/>
          <w:color w:val="1a1a2e"/>
          <w:sz w:val="24"/>
          <w:szCs w:val="24"/>
        </w:rPr>
        <w:t xml:space="preserve">الهدف: ضمان الجودة والتحضير للإطلاق. المخرجات: اختبارات Unit و Integration (80% coverage). اختبارات E2E للسيناريوهات الأساسية. تحسين الأداء. معالجة الأخطاء المكتشفة. إعداد حزمة التثبيت (.exe). توثيق المستخدم. معايير القبول: معدل أخطاء &lt; 1%. التطبيق يعمل 8 ساعات بدون crash. حزمة التثبيت جاهزة للتوزيع.</w:t>
      </w:r>
    </w:p>
    <w:p>
      <w:pPr>
        <w:pStyle w:val="Heading2"/>
        <w:spacing w:after="150" w:before="300" w:line="340"/>
        <w:jc w:val="right"/>
      </w:pPr>
      <w:bookmarkStart w:id="100098" w:name="_Toc100098"/>
      <w:r>
        <w:rPr>
          <w:rFonts w:ascii="Cairo" w:eastAsia="Cairo"/>
          <w:b/>
          <w:bCs/>
          <w:color w:val="0a9396"/>
          <w:sz w:val="30"/>
          <w:szCs w:val="30"/>
        </w:rPr>
        <w:t xml:space="preserve">10.8 مخطط الجدول الزمني</w:t>
      </w:r>
      <w:bookmarkEnd w:id="100098"/>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المرحلة</w:t>
            </w:r>
          </w:p>
        </w:tc>
        <w:tc>
          <w:tcPr>
            <w:tcW w:type="pct" w:w="1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الأسابيع</w:t>
            </w:r>
          </w:p>
        </w:tc>
        <w:tc>
          <w:tcPr>
            <w:tcW w:type="pct" w:w="3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المخرجات الرئيسية</w:t>
            </w:r>
          </w:p>
        </w:tc>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الاعتماديات</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1. البنية التحتية</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1-4</w:t>
            </w:r>
          </w:p>
        </w:tc>
        <w:tc>
          <w:tcPr>
            <w:tcW w:type="pct" w:w="33%"/>
            <w:shd w:fill="FFFFFF" w:val="clear"/>
            <w:tcMar>
              <w:top w:type="dxa" w:w="60"/>
              <w:left w:type="dxa" w:w="100"/>
              <w:bottom w:type="dxa" w:w="60"/>
              <w:right w:type="dxa" w:w="100"/>
            </w:tcMar>
          </w:tcPr>
          <w:p>
            <w:pPr>
              <w:jc w:val="right"/>
            </w:pPr>
            <w:r>
              <w:rPr>
                <w:rFonts w:ascii="Cairo" w:eastAsia="Cairo"/>
                <w:color w:val="1a1a2e"/>
                <w:sz w:val="21"/>
                <w:szCs w:val="21"/>
              </w:rPr>
              <w:t xml:space="preserve">Electron + DB + Auth</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لا يوجد</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2. CRUD الأساسي</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5-9</w:t>
            </w:r>
          </w:p>
        </w:tc>
        <w:tc>
          <w:tcPr>
            <w:tcW w:type="pct" w:w="33%"/>
            <w:shd w:fill="f8f9fa" w:val="clear"/>
            <w:tcMar>
              <w:top w:type="dxa" w:w="60"/>
              <w:left w:type="dxa" w:w="100"/>
              <w:bottom w:type="dxa" w:w="60"/>
              <w:right w:type="dxa" w:w="100"/>
            </w:tcMar>
          </w:tcPr>
          <w:p>
            <w:pPr>
              <w:jc w:val="right"/>
            </w:pPr>
            <w:r>
              <w:rPr>
                <w:rFonts w:ascii="Cairo" w:eastAsia="Cairo"/>
                <w:color w:val="1a1a2e"/>
                <w:sz w:val="21"/>
                <w:szCs w:val="21"/>
              </w:rPr>
              <w:t xml:space="preserve">جميع الكيانات</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المرحلة 1</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3. الفواتير</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10-15</w:t>
            </w:r>
          </w:p>
        </w:tc>
        <w:tc>
          <w:tcPr>
            <w:tcW w:type="pct" w:w="33%"/>
            <w:shd w:fill="FFFFFF" w:val="clear"/>
            <w:tcMar>
              <w:top w:type="dxa" w:w="60"/>
              <w:left w:type="dxa" w:w="100"/>
              <w:bottom w:type="dxa" w:w="60"/>
              <w:right w:type="dxa" w:w="100"/>
            </w:tcMar>
          </w:tcPr>
          <w:p>
            <w:pPr>
              <w:jc w:val="right"/>
            </w:pPr>
            <w:r>
              <w:rPr>
                <w:rFonts w:ascii="Cairo" w:eastAsia="Cairo"/>
                <w:color w:val="1a1a2e"/>
                <w:sz w:val="21"/>
                <w:szCs w:val="21"/>
              </w:rPr>
              <w:t xml:space="preserve">نظام فواتير كامل</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المرحلة 2</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4. المنطق المالي</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16-19</w:t>
            </w:r>
          </w:p>
        </w:tc>
        <w:tc>
          <w:tcPr>
            <w:tcW w:type="pct" w:w="33%"/>
            <w:shd w:fill="f8f9fa" w:val="clear"/>
            <w:tcMar>
              <w:top w:type="dxa" w:w="60"/>
              <w:left w:type="dxa" w:w="100"/>
              <w:bottom w:type="dxa" w:w="60"/>
              <w:right w:type="dxa" w:w="100"/>
            </w:tcMar>
          </w:tcPr>
          <w:p>
            <w:pPr>
              <w:jc w:val="right"/>
            </w:pPr>
            <w:r>
              <w:rPr>
                <w:rFonts w:ascii="Cairo" w:eastAsia="Cairo"/>
                <w:color w:val="1a1a2e"/>
                <w:sz w:val="21"/>
                <w:szCs w:val="21"/>
              </w:rPr>
              <w:t xml:space="preserve">حسابات + مخزون</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المرحلة 3</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5. التقارير</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20-22</w:t>
            </w:r>
          </w:p>
        </w:tc>
        <w:tc>
          <w:tcPr>
            <w:tcW w:type="pct" w:w="33%"/>
            <w:shd w:fill="FFFFFF" w:val="clear"/>
            <w:tcMar>
              <w:top w:type="dxa" w:w="60"/>
              <w:left w:type="dxa" w:w="100"/>
              <w:bottom w:type="dxa" w:w="60"/>
              <w:right w:type="dxa" w:w="100"/>
            </w:tcMar>
          </w:tcPr>
          <w:p>
            <w:pPr>
              <w:jc w:val="right"/>
            </w:pPr>
            <w:r>
              <w:rPr>
                <w:rFonts w:ascii="Cairo" w:eastAsia="Cairo"/>
                <w:color w:val="1a1a2e"/>
                <w:sz w:val="21"/>
                <w:szCs w:val="21"/>
              </w:rPr>
              <w:t xml:space="preserve">تقارير مالية</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المرحلة 4</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6. الاختبار</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23-26</w:t>
            </w:r>
          </w:p>
        </w:tc>
        <w:tc>
          <w:tcPr>
            <w:tcW w:type="pct" w:w="33%"/>
            <w:shd w:fill="f8f9fa" w:val="clear"/>
            <w:tcMar>
              <w:top w:type="dxa" w:w="60"/>
              <w:left w:type="dxa" w:w="100"/>
              <w:bottom w:type="dxa" w:w="60"/>
              <w:right w:type="dxa" w:w="100"/>
            </w:tcMar>
          </w:tcPr>
          <w:p>
            <w:pPr>
              <w:jc w:val="right"/>
            </w:pPr>
            <w:r>
              <w:rPr>
                <w:rFonts w:ascii="Cairo" w:eastAsia="Cairo"/>
                <w:color w:val="1a1a2e"/>
                <w:sz w:val="21"/>
                <w:szCs w:val="21"/>
              </w:rPr>
              <w:t xml:space="preserve">إطلاق جاهز</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المرحلة 5</w:t>
            </w:r>
          </w:p>
        </w:tc>
      </w:tr>
    </w:tbl>
    <w:p>
      <w:pPr>
        <w:pStyle w:val="Heading1"/>
        <w:spacing w:after="200" w:before="400" w:line="360"/>
        <w:jc w:val="right"/>
      </w:pPr>
      <w:bookmarkStart w:id="100099" w:name="_Toc100099"/>
      <w:r>
        <w:rPr>
          <w:rFonts w:ascii="Cairo" w:eastAsia="Cairo"/>
          <w:b/>
          <w:bCs/>
          <w:color w:val="005f73"/>
          <w:sz w:val="36"/>
          <w:szCs w:val="36"/>
        </w:rPr>
        <w:t xml:space="preserve">11. إدارة المخاطر (Risk Management)</w:t>
      </w:r>
      <w:bookmarkEnd w:id="100099"/>
    </w:p>
    <w:p>
      <w:pPr>
        <w:pStyle w:val="Heading2"/>
        <w:spacing w:after="150" w:before="300" w:line="340"/>
        <w:jc w:val="right"/>
      </w:pPr>
      <w:bookmarkStart w:id="100100" w:name="_Toc100100"/>
      <w:r>
        <w:rPr>
          <w:rFonts w:ascii="Cairo" w:eastAsia="Cairo"/>
          <w:b/>
          <w:bCs/>
          <w:color w:val="0a9396"/>
          <w:sz w:val="30"/>
          <w:szCs w:val="30"/>
        </w:rPr>
        <w:t xml:space="preserve">11.1 منهجية إدارة المخاطر</w:t>
      </w:r>
      <w:bookmarkEnd w:id="100100"/>
    </w:p>
    <w:p>
      <w:pPr>
        <w:spacing w:after="160" w:line="360"/>
        <w:ind w:firstLine="480"/>
        <w:jc w:val="both"/>
      </w:pPr>
      <w:r>
        <w:rPr>
          <w:rFonts w:ascii="Cairo" w:eastAsia="Cairo"/>
          <w:color w:val="1a1a2e"/>
          <w:sz w:val="24"/>
          <w:szCs w:val="24"/>
        </w:rPr>
        <w:t xml:space="preserve">يتبنى المشروع منهجية استباقية لإدارة المخاطر تهدف لتحديد المخاطر المحتملة مسبقاً وتقييمها ووضع خطط التخفيف المناسبة. يتم مراجعة سجل المخاطر أسبوعياً في اجتماعات status meeting وتحديثه حسب المستجدات.</w:t>
      </w:r>
    </w:p>
    <w:p>
      <w:pPr>
        <w:pStyle w:val="Heading2"/>
        <w:spacing w:after="150" w:before="300" w:line="340"/>
        <w:jc w:val="right"/>
      </w:pPr>
      <w:bookmarkStart w:id="100101" w:name="_Toc100101"/>
      <w:r>
        <w:rPr>
          <w:rFonts w:ascii="Cairo" w:eastAsia="Cairo"/>
          <w:b/>
          <w:bCs/>
          <w:color w:val="0a9396"/>
          <w:sz w:val="30"/>
          <w:szCs w:val="30"/>
        </w:rPr>
        <w:t xml:space="preserve">11.2 مصفوفة المخاطر (Risk Matrix)</w:t>
      </w:r>
      <w:bookmarkEnd w:id="100101"/>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gridCol w:w="100"/>
        <w:gridCol w:w="100"/>
      </w:tblGrid>
      <w:tr>
        <w:trPr>
          <w:cantSplit/>
          <w:tblHeader/>
        </w:trPr>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المخطر</w:t>
            </w:r>
          </w:p>
        </w:tc>
        <w:tc>
          <w:tcPr>
            <w:tcW w:type="pct" w:w="1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النوع</w:t>
            </w:r>
          </w:p>
        </w:tc>
        <w:tc>
          <w:tcPr>
            <w:tcW w:type="pct" w:w="1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الاحتمالية</w:t>
            </w:r>
          </w:p>
        </w:tc>
        <w:tc>
          <w:tcPr>
            <w:tcW w:type="pct" w:w="1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الأثر</w:t>
            </w:r>
          </w:p>
        </w:tc>
        <w:tc>
          <w:tcPr>
            <w:tcW w:type="pct" w:w="1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الدرجة</w:t>
            </w:r>
          </w:p>
        </w:tc>
        <w:tc>
          <w:tcPr>
            <w:tcW w:type="pct" w:w="34%"/>
            <w:shd w:fill="005f73" w:val="clear"/>
            <w:tcMar>
              <w:top w:type="dxa" w:w="80"/>
              <w:left w:type="dxa" w:w="120"/>
              <w:bottom w:type="dxa" w:w="80"/>
              <w:right w:type="dxa" w:w="120"/>
            </w:tcMar>
          </w:tcPr>
          <w:p>
            <w:pPr>
              <w:jc w:val="center"/>
            </w:pPr>
            <w:r>
              <w:rPr>
                <w:rFonts w:ascii="Cairo" w:eastAsia="Cairo"/>
                <w:b/>
                <w:bCs/>
                <w:color w:val="FFFFFF"/>
                <w:sz w:val="22"/>
                <w:szCs w:val="22"/>
              </w:rPr>
              <w:t xml:space="preserve">استراتيجية التخفيف</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تأخر الجدول الزمني</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مشروعي</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34%"/>
            <w:shd w:fill="FFFFFF" w:val="clear"/>
            <w:tcMar>
              <w:top w:type="dxa" w:w="60"/>
              <w:left w:type="dxa" w:w="100"/>
              <w:bottom w:type="dxa" w:w="60"/>
              <w:right w:type="dxa" w:w="100"/>
            </w:tcMar>
          </w:tcPr>
          <w:p>
            <w:pPr>
              <w:jc w:val="right"/>
            </w:pPr>
            <w:r>
              <w:rPr>
                <w:rFonts w:ascii="Cairo" w:eastAsia="Cairo"/>
                <w:color w:val="1a1a2e"/>
                <w:sz w:val="21"/>
                <w:szCs w:val="21"/>
              </w:rPr>
              <w:t xml:space="preserve">Buffer 20%، MVP أولاً</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مشاكل أداء Electron</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تقني</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منخفض</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34%"/>
            <w:shd w:fill="f8f9fa" w:val="clear"/>
            <w:tcMar>
              <w:top w:type="dxa" w:w="60"/>
              <w:left w:type="dxa" w:w="100"/>
              <w:bottom w:type="dxa" w:w="60"/>
              <w:right w:type="dxa" w:w="100"/>
            </w:tcMar>
          </w:tcPr>
          <w:p>
            <w:pPr>
              <w:jc w:val="right"/>
            </w:pPr>
            <w:r>
              <w:rPr>
                <w:rFonts w:ascii="Cairo" w:eastAsia="Cairo"/>
                <w:color w:val="1a1a2e"/>
                <w:sz w:val="21"/>
                <w:szCs w:val="21"/>
              </w:rPr>
              <w:t xml:space="preserve">Code splitting, Lazy load</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محدودية SQLite المتزامنة</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تقني</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34%"/>
            <w:shd w:fill="FFFFFF" w:val="clear"/>
            <w:tcMar>
              <w:top w:type="dxa" w:w="60"/>
              <w:left w:type="dxa" w:w="100"/>
              <w:bottom w:type="dxa" w:w="60"/>
              <w:right w:type="dxa" w:w="100"/>
            </w:tcMar>
          </w:tcPr>
          <w:p>
            <w:pPr>
              <w:jc w:val="right"/>
            </w:pPr>
            <w:r>
              <w:rPr>
                <w:rFonts w:ascii="Cairo" w:eastAsia="Cairo"/>
                <w:color w:val="1a1a2e"/>
                <w:sz w:val="21"/>
                <w:szCs w:val="21"/>
              </w:rPr>
              <w:t xml:space="preserve">آلية Queue للكتابة</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فقدان البيانات</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تشغيلي</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منخفض</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34%"/>
            <w:shd w:fill="f8f9fa" w:val="clear"/>
            <w:tcMar>
              <w:top w:type="dxa" w:w="60"/>
              <w:left w:type="dxa" w:w="100"/>
              <w:bottom w:type="dxa" w:w="60"/>
              <w:right w:type="dxa" w:w="100"/>
            </w:tcMar>
          </w:tcPr>
          <w:p>
            <w:pPr>
              <w:jc w:val="right"/>
            </w:pPr>
            <w:r>
              <w:rPr>
                <w:rFonts w:ascii="Cairo" w:eastAsia="Cairo"/>
                <w:color w:val="1a1a2e"/>
                <w:sz w:val="21"/>
                <w:szCs w:val="21"/>
              </w:rPr>
              <w:t xml:space="preserve">نسخ تلقائي يومي</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تغير المتطلبات</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مشروعي</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34%"/>
            <w:shd w:fill="FFFFFF" w:val="clear"/>
            <w:tcMar>
              <w:top w:type="dxa" w:w="60"/>
              <w:left w:type="dxa" w:w="100"/>
              <w:bottom w:type="dxa" w:w="60"/>
              <w:right w:type="dxa" w:w="100"/>
            </w:tcMar>
          </w:tcPr>
          <w:p>
            <w:pPr>
              <w:jc w:val="right"/>
            </w:pPr>
            <w:r>
              <w:rPr>
                <w:rFonts w:ascii="Cairo" w:eastAsia="Cairo"/>
                <w:color w:val="1a1a2e"/>
                <w:sz w:val="21"/>
                <w:szCs w:val="21"/>
              </w:rPr>
              <w:t xml:space="preserve">Agile, Change Request process</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صعوبة التوظيف</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موارده</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34%"/>
            <w:shd w:fill="f8f9fa" w:val="clear"/>
            <w:tcMar>
              <w:top w:type="dxa" w:w="60"/>
              <w:left w:type="dxa" w:w="100"/>
              <w:bottom w:type="dxa" w:w="60"/>
              <w:right w:type="dxa" w:w="100"/>
            </w:tcMar>
          </w:tcPr>
          <w:p>
            <w:pPr>
              <w:jc w:val="right"/>
            </w:pPr>
            <w:r>
              <w:rPr>
                <w:rFonts w:ascii="Cairo" w:eastAsia="Cairo"/>
                <w:color w:val="1a1a2e"/>
                <w:sz w:val="21"/>
                <w:szCs w:val="21"/>
              </w:rPr>
              <w:t xml:space="preserve">توثيق جيد, Code review</w:t>
            </w:r>
          </w:p>
        </w:tc>
      </w:tr>
      <w:tr>
        <w:trPr>
          <w:cantSplit/>
        </w:trPr>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منافسة قوية</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سوقي</w:t>
            </w:r>
          </w:p>
        </w:tc>
        <w:tc>
          <w:tcPr>
            <w:tcW w:type="pct" w:w="12%"/>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عالٍ</w:t>
            </w:r>
          </w:p>
        </w:tc>
        <w:tc>
          <w:tcPr>
            <w:tcW w:type="pct" w:w="10%"/>
            <w:shd w:fill="FFFFFF" w:val="clear"/>
            <w:tcMar>
              <w:top w:type="dxa" w:w="60"/>
              <w:left w:type="dxa" w:w="100"/>
              <w:bottom w:type="dxa" w:w="60"/>
              <w:right w:type="dxa" w:w="100"/>
            </w:tcMar>
          </w:tcPr>
          <w:p>
            <w:pPr>
              <w:jc w:val="right"/>
            </w:pPr>
            <w:r>
              <w:rPr>
                <w:rFonts w:ascii="Cairo" w:eastAsia="Cairo"/>
                <w:color w:val="1a1a2e"/>
                <w:sz w:val="21"/>
                <w:szCs w:val="21"/>
              </w:rPr>
              <w:t xml:space="preserve">حرج</w:t>
            </w:r>
          </w:p>
        </w:tc>
        <w:tc>
          <w:tcPr>
            <w:tcW w:type="pct" w:w="34%"/>
            <w:shd w:fill="FFFFFF" w:val="clear"/>
            <w:tcMar>
              <w:top w:type="dxa" w:w="60"/>
              <w:left w:type="dxa" w:w="100"/>
              <w:bottom w:type="dxa" w:w="60"/>
              <w:right w:type="dxa" w:w="100"/>
            </w:tcMar>
          </w:tcPr>
          <w:p>
            <w:pPr>
              <w:jc w:val="right"/>
            </w:pPr>
            <w:r>
              <w:rPr>
                <w:rFonts w:ascii="Cairo" w:eastAsia="Cairo"/>
                <w:color w:val="1a1a2e"/>
                <w:sz w:val="21"/>
                <w:szCs w:val="21"/>
              </w:rPr>
              <w:t xml:space="preserve">تميز عربي, تسعير تنافسي</w:t>
            </w:r>
          </w:p>
        </w:tc>
      </w:tr>
      <w:tr>
        <w:trPr>
          <w:cantSplit/>
        </w:trPr>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مشاكل RTL/CSS</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تقني</w:t>
            </w:r>
          </w:p>
        </w:tc>
        <w:tc>
          <w:tcPr>
            <w:tcW w:type="pct" w:w="12%"/>
            <w:shd w:fill="f8f9fa" w:val="clear"/>
            <w:tcMar>
              <w:top w:type="dxa" w:w="60"/>
              <w:left w:type="dxa" w:w="100"/>
              <w:bottom w:type="dxa" w:w="60"/>
              <w:right w:type="dxa" w:w="100"/>
            </w:tcMar>
          </w:tcPr>
          <w:p>
            <w:pPr>
              <w:jc w:val="right"/>
            </w:pPr>
            <w:r>
              <w:rPr>
                <w:rFonts w:ascii="Cairo" w:eastAsia="Cairo"/>
                <w:color w:val="1a1a2e"/>
                <w:sz w:val="21"/>
                <w:szCs w:val="21"/>
              </w:rPr>
              <w:t xml:space="preserve">متوسط</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منخفض</w:t>
            </w:r>
          </w:p>
        </w:tc>
        <w:tc>
          <w:tcPr>
            <w:tcW w:type="pct" w:w="10%"/>
            <w:shd w:fill="f8f9fa" w:val="clear"/>
            <w:tcMar>
              <w:top w:type="dxa" w:w="60"/>
              <w:left w:type="dxa" w:w="100"/>
              <w:bottom w:type="dxa" w:w="60"/>
              <w:right w:type="dxa" w:w="100"/>
            </w:tcMar>
          </w:tcPr>
          <w:p>
            <w:pPr>
              <w:jc w:val="right"/>
            </w:pPr>
            <w:r>
              <w:rPr>
                <w:rFonts w:ascii="Cairo" w:eastAsia="Cairo"/>
                <w:color w:val="1a1a2e"/>
                <w:sz w:val="21"/>
                <w:szCs w:val="21"/>
              </w:rPr>
              <w:t xml:space="preserve">منخفض</w:t>
            </w:r>
          </w:p>
        </w:tc>
        <w:tc>
          <w:tcPr>
            <w:tcW w:type="pct" w:w="34%"/>
            <w:shd w:fill="f8f9fa" w:val="clear"/>
            <w:tcMar>
              <w:top w:type="dxa" w:w="60"/>
              <w:left w:type="dxa" w:w="100"/>
              <w:bottom w:type="dxa" w:w="60"/>
              <w:right w:type="dxa" w:w="100"/>
            </w:tcMar>
          </w:tcPr>
          <w:p>
            <w:pPr>
              <w:jc w:val="right"/>
            </w:pPr>
            <w:r>
              <w:rPr>
                <w:rFonts w:ascii="Cairo" w:eastAsia="Cairo"/>
                <w:color w:val="1a1a2e"/>
                <w:sz w:val="21"/>
                <w:szCs w:val="21"/>
              </w:rPr>
              <w:t xml:space="preserve">Tailwind RTL plugin, Testing</w:t>
            </w:r>
          </w:p>
        </w:tc>
      </w:tr>
    </w:tbl>
    <w:p>
      <w:pPr>
        <w:pStyle w:val="Heading2"/>
        <w:spacing w:after="150" w:before="300" w:line="340"/>
        <w:jc w:val="right"/>
      </w:pPr>
      <w:bookmarkStart w:id="100102" w:name="_Toc100102"/>
      <w:r>
        <w:rPr>
          <w:rFonts w:ascii="Cairo" w:eastAsia="Cairo"/>
          <w:b/>
          <w:bCs/>
          <w:color w:val="0a9396"/>
          <w:sz w:val="30"/>
          <w:szCs w:val="30"/>
        </w:rPr>
        <w:t xml:space="preserve">11.3 تفصيل المخاطر الحرجة</w:t>
      </w:r>
      <w:bookmarkEnd w:id="100102"/>
    </w:p>
    <w:p>
      <w:pPr>
        <w:pStyle w:val="Heading3"/>
        <w:spacing w:after="120" w:before="240" w:line="320"/>
        <w:jc w:val="right"/>
      </w:pPr>
      <w:bookmarkStart w:id="100103" w:name="_Toc100103"/>
      <w:r>
        <w:rPr>
          <w:rFonts w:ascii="Cairo" w:eastAsia="Cairo"/>
          <w:b/>
          <w:bCs/>
          <w:color w:val="1a1a2e"/>
          <w:sz w:val="26"/>
          <w:szCs w:val="26"/>
        </w:rPr>
        <w:t xml:space="preserve">11.3.1 تأخر الجدول الزمني</w:t>
      </w:r>
      <w:bookmarkEnd w:id="100103"/>
    </w:p>
    <w:p>
      <w:pPr>
        <w:spacing w:after="160" w:line="360"/>
        <w:ind w:firstLine="480"/>
        <w:jc w:val="both"/>
      </w:pPr>
      <w:r>
        <w:rPr>
          <w:rFonts w:ascii="Cairo" w:eastAsia="Cairo"/>
          <w:color w:val="1a1a2e"/>
          <w:sz w:val="24"/>
          <w:szCs w:val="24"/>
        </w:rPr>
        <w:t xml:space="preserve">الاحتمالية: متوسط (50%). الأثر: عالٍ - تأخر الإطلاق يعني فقدان ميزة السبق. التخفيف: إضافة Buffer 20% لكل مرحلة. اعتماد منهجية MVP - إطلاق الميزات الأساسية أولاً. تحديد Critical Path وتركيز الموارد عليها.</w:t>
      </w:r>
    </w:p>
    <w:p>
      <w:pPr>
        <w:pStyle w:val="Heading3"/>
        <w:spacing w:after="120" w:before="240" w:line="320"/>
        <w:jc w:val="right"/>
      </w:pPr>
      <w:bookmarkStart w:id="100104" w:name="_Toc100104"/>
      <w:r>
        <w:rPr>
          <w:rFonts w:ascii="Cairo" w:eastAsia="Cairo"/>
          <w:b/>
          <w:bCs/>
          <w:color w:val="1a1a2e"/>
          <w:sz w:val="26"/>
          <w:szCs w:val="26"/>
        </w:rPr>
        <w:t xml:space="preserve">11.3.2 المنافسة القوية</w:t>
      </w:r>
      <w:bookmarkEnd w:id="100104"/>
    </w:p>
    <w:p>
      <w:pPr>
        <w:spacing w:after="160" w:line="360"/>
        <w:ind w:firstLine="480"/>
        <w:jc w:val="both"/>
      </w:pPr>
      <w:r>
        <w:rPr>
          <w:rFonts w:ascii="Cairo" w:eastAsia="Cairo"/>
          <w:color w:val="1a1a2e"/>
          <w:sz w:val="24"/>
          <w:szCs w:val="24"/>
        </w:rPr>
        <w:t xml:space="preserve">الاحتمالية: عالية (70%). الأثر: عالٍ - فقدان حصة السوق. التخفيف: التركيز على الميزة التنافسية الفريدة (عربي أصيل + offline + سعر一次). بناء مجتمع مستخدمين مبكراً (Beta testers). تحديث مستمر بناءً على ملاحظات المستخدمين.</w:t>
      </w:r>
    </w:p>
    <w:p>
      <w:pPr>
        <w:pStyle w:val="Heading3"/>
        <w:spacing w:after="120" w:before="240" w:line="320"/>
        <w:jc w:val="right"/>
      </w:pPr>
      <w:bookmarkStart w:id="100105" w:name="_Toc100105"/>
      <w:r>
        <w:rPr>
          <w:rFonts w:ascii="Cairo" w:eastAsia="Cairo"/>
          <w:b/>
          <w:bCs/>
          <w:color w:val="1a1a2e"/>
          <w:sz w:val="26"/>
          <w:szCs w:val="26"/>
        </w:rPr>
        <w:t xml:space="preserve">11.3.3 فقدان البيانات</w:t>
      </w:r>
      <w:bookmarkEnd w:id="100105"/>
    </w:p>
    <w:p>
      <w:pPr>
        <w:spacing w:after="160" w:line="360"/>
        <w:ind w:firstLine="480"/>
        <w:jc w:val="both"/>
      </w:pPr>
      <w:r>
        <w:rPr>
          <w:rFonts w:ascii="Cairo" w:eastAsia="Cairo"/>
          <w:color w:val="1a1a2e"/>
          <w:sz w:val="24"/>
          <w:szCs w:val="24"/>
        </w:rPr>
        <w:t xml:space="preserve">الاحتمالية: منخفضة (20%). الأثر: عالٍ - فقدان ثقة العملاء الدائمة. التخفيف: نسخ احتياطي تلقائي يومي مع إشعار. تصدير يدوي بضغطة زر. التحقق من سلامة قاعدة البيانات دورياً.</w:t>
      </w:r>
    </w:p>
    <w:p>
      <w:pPr>
        <w:pStyle w:val="Heading2"/>
        <w:spacing w:after="150" w:before="300" w:line="340"/>
        <w:jc w:val="right"/>
      </w:pPr>
      <w:bookmarkStart w:id="100106" w:name="_Toc100106"/>
      <w:r>
        <w:rPr>
          <w:rFonts w:ascii="Cairo" w:eastAsia="Cairo"/>
          <w:b/>
          <w:bCs/>
          <w:color w:val="0a9396"/>
          <w:sz w:val="30"/>
          <w:szCs w:val="30"/>
        </w:rPr>
        <w:t xml:space="preserve">11.4 خطة الطوارئ (Contingency Plan)</w:t>
      </w:r>
      <w:bookmarkEnd w:id="100106"/>
    </w:p>
    <w:p>
      <w:pPr>
        <w:spacing w:after="160" w:line="360"/>
        <w:ind w:firstLine="480"/>
        <w:jc w:val="both"/>
      </w:pPr>
      <w:r>
        <w:rPr>
          <w:rFonts w:ascii="Cairo" w:eastAsia="Cairo"/>
          <w:color w:val="1a1a2e"/>
          <w:sz w:val="24"/>
          <w:szCs w:val="24"/>
        </w:rPr>
        <w:t xml:space="preserve">في حال حدوث مخطر حرج: الاجتماع الفوري لفريق القيادة لتقييم الوضع. تفعيل Contingency Budget (15% من الميزانية). إعادة ترتيب الأولويات - التركيز على Critical Path فقط. إبلاغ أصحاب المصلحة بشفافية. توثيق الدروس المستفادة لمنع التكرار.</w:t>
      </w:r>
    </w:p>
    <w:p>
      <w:pPr>
        <w:pStyle w:val="Heading1"/>
        <w:spacing w:after="200" w:before="400" w:line="360"/>
        <w:jc w:val="right"/>
      </w:pPr>
      <w:bookmarkStart w:id="100107" w:name="_Toc100107"/>
      <w:r>
        <w:rPr>
          <w:rFonts w:ascii="Cairo" w:eastAsia="Cairo"/>
          <w:b/>
          <w:bCs/>
          <w:color w:val="005f73"/>
          <w:sz w:val="36"/>
          <w:szCs w:val="36"/>
        </w:rPr>
        <w:t xml:space="preserve">12. الميزانية والتكاليف التقديرية (Budget &amp; Cost Estimates)</w:t>
      </w:r>
      <w:bookmarkEnd w:id="100107"/>
    </w:p>
    <w:p>
      <w:pPr>
        <w:pStyle w:val="Heading2"/>
        <w:spacing w:after="150" w:before="300" w:line="340"/>
        <w:jc w:val="right"/>
      </w:pPr>
      <w:bookmarkStart w:id="100108" w:name="_Toc100108"/>
      <w:r>
        <w:rPr>
          <w:rFonts w:ascii="Cairo" w:eastAsia="Cairo"/>
          <w:b/>
          <w:bCs/>
          <w:color w:val="0a9396"/>
          <w:sz w:val="30"/>
          <w:szCs w:val="30"/>
        </w:rPr>
        <w:t xml:space="preserve">12.1 افتراضات التكلفة</w:t>
      </w:r>
      <w:bookmarkEnd w:id="100108"/>
    </w:p>
    <w:p>
      <w:pPr>
        <w:spacing w:after="160" w:line="360"/>
        <w:ind w:firstLine="480"/>
        <w:jc w:val="both"/>
      </w:pPr>
      <w:r>
        <w:rPr>
          <w:rFonts w:ascii="Cairo" w:eastAsia="Cairo"/>
          <w:color w:val="1a1a2e"/>
          <w:sz w:val="24"/>
          <w:szCs w:val="24"/>
        </w:rPr>
        <w:t xml:space="preserve">تستند التقديرات التالية إلى: فريق مكون من 3 مطورين (Full-stack + Frontend + Backend). معدل ساعة العمل 75 ريال للمطور المتوسط. مدة المشروع 26 أسبوعة (6 أشهر). عمل 40 ساعة أسبوعياً. لا يشمل رواتب الإدارة والتسويق.</w:t>
      </w:r>
    </w:p>
    <w:p>
      <w:pPr>
        <w:pStyle w:val="Heading2"/>
        <w:spacing w:after="150" w:before="300" w:line="340"/>
        <w:jc w:val="right"/>
      </w:pPr>
      <w:bookmarkStart w:id="100109" w:name="_Toc100109"/>
      <w:r>
        <w:rPr>
          <w:rFonts w:ascii="Cairo" w:eastAsia="Cairo"/>
          <w:b/>
          <w:bCs/>
          <w:color w:val="0a9396"/>
          <w:sz w:val="30"/>
          <w:szCs w:val="30"/>
        </w:rPr>
        <w:t xml:space="preserve">12.2 تكاليف التطوير (Development Costs)</w:t>
      </w:r>
      <w:bookmarkEnd w:id="100109"/>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3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البند</w:t>
            </w:r>
          </w:p>
        </w:tc>
        <w:tc>
          <w:tcPr>
            <w:tcW w:type="pct" w:w="1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الساعات</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المعدل/ساعة</w:t>
            </w:r>
          </w:p>
        </w:tc>
        <w:tc>
          <w:tcPr>
            <w:tcW w:type="pct" w:w="2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التكلفة (ريال)</w:t>
            </w:r>
          </w:p>
        </w:tc>
      </w:tr>
      <w:tr>
        <w:trPr>
          <w:cantSplit/>
        </w:trPr>
        <w:tc>
          <w:tcPr>
            <w:tcW w:type="pct" w:w="32%"/>
            <w:shd w:fill="FFFFFF" w:val="clear"/>
            <w:tcMar>
              <w:top w:type="dxa" w:w="60"/>
              <w:left w:type="dxa" w:w="100"/>
              <w:bottom w:type="dxa" w:w="60"/>
              <w:right w:type="dxa" w:w="100"/>
            </w:tcMar>
          </w:tcPr>
          <w:p>
            <w:pPr>
              <w:jc w:val="right"/>
            </w:pPr>
            <w:r>
              <w:rPr>
                <w:rFonts w:ascii="Cairo" w:eastAsia="Cairo"/>
                <w:color w:val="1a1a2e"/>
                <w:sz w:val="21"/>
                <w:szCs w:val="21"/>
              </w:rPr>
              <w:t xml:space="preserve">مطور Full-stack Senior</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1040</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100</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104,000</w:t>
            </w:r>
          </w:p>
        </w:tc>
      </w:tr>
      <w:tr>
        <w:trPr>
          <w:cantSplit/>
        </w:trPr>
        <w:tc>
          <w:tcPr>
            <w:tcW w:type="pct" w:w="32%"/>
            <w:shd w:fill="f8f9fa" w:val="clear"/>
            <w:tcMar>
              <w:top w:type="dxa" w:w="60"/>
              <w:left w:type="dxa" w:w="100"/>
              <w:bottom w:type="dxa" w:w="60"/>
              <w:right w:type="dxa" w:w="100"/>
            </w:tcMar>
          </w:tcPr>
          <w:p>
            <w:pPr>
              <w:jc w:val="right"/>
            </w:pPr>
            <w:r>
              <w:rPr>
                <w:rFonts w:ascii="Cairo" w:eastAsia="Cairo"/>
                <w:color w:val="1a1a2e"/>
                <w:sz w:val="21"/>
                <w:szCs w:val="21"/>
              </w:rPr>
              <w:t xml:space="preserve">مطور Frontend Mid-level</w:t>
            </w:r>
          </w:p>
        </w:tc>
        <w:tc>
          <w:tcPr>
            <w:tcW w:type="pct" w:w="18%"/>
            <w:shd w:fill="f8f9fa" w:val="clear"/>
            <w:tcMar>
              <w:top w:type="dxa" w:w="60"/>
              <w:left w:type="dxa" w:w="100"/>
              <w:bottom w:type="dxa" w:w="60"/>
              <w:right w:type="dxa" w:w="100"/>
            </w:tcMar>
          </w:tcPr>
          <w:p>
            <w:pPr>
              <w:jc w:val="right"/>
            </w:pPr>
            <w:r>
              <w:rPr>
                <w:rFonts w:ascii="Cairo" w:eastAsia="Cairo"/>
                <w:color w:val="1a1a2e"/>
                <w:sz w:val="21"/>
                <w:szCs w:val="21"/>
              </w:rPr>
              <w:t xml:space="preserve">1040</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70</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72,800</w:t>
            </w:r>
          </w:p>
        </w:tc>
      </w:tr>
      <w:tr>
        <w:trPr>
          <w:cantSplit/>
        </w:trPr>
        <w:tc>
          <w:tcPr>
            <w:tcW w:type="pct" w:w="32%"/>
            <w:shd w:fill="FFFFFF" w:val="clear"/>
            <w:tcMar>
              <w:top w:type="dxa" w:w="60"/>
              <w:left w:type="dxa" w:w="100"/>
              <w:bottom w:type="dxa" w:w="60"/>
              <w:right w:type="dxa" w:w="100"/>
            </w:tcMar>
          </w:tcPr>
          <w:p>
            <w:pPr>
              <w:jc w:val="right"/>
            </w:pPr>
            <w:r>
              <w:rPr>
                <w:rFonts w:ascii="Cairo" w:eastAsia="Cairo"/>
                <w:color w:val="1a1a2e"/>
                <w:sz w:val="21"/>
                <w:szCs w:val="21"/>
              </w:rPr>
              <w:t xml:space="preserve">مطور Backend Mid-level</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1040</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70</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72,800</w:t>
            </w:r>
          </w:p>
        </w:tc>
      </w:tr>
      <w:tr>
        <w:trPr>
          <w:cantSplit/>
        </w:trPr>
        <w:tc>
          <w:tcPr>
            <w:tcW w:type="pct" w:w="32%"/>
            <w:shd w:fill="f8f9fa" w:val="clear"/>
            <w:tcMar>
              <w:top w:type="dxa" w:w="60"/>
              <w:left w:type="dxa" w:w="100"/>
              <w:bottom w:type="dxa" w:w="60"/>
              <w:right w:type="dxa" w:w="100"/>
            </w:tcMar>
          </w:tcPr>
          <w:p>
            <w:pPr>
              <w:jc w:val="right"/>
            </w:pPr>
            <w:r>
              <w:rPr>
                <w:rFonts w:ascii="Cairo" w:eastAsia="Cairo"/>
                <w:color w:val="1a1a2e"/>
                <w:sz w:val="21"/>
                <w:szCs w:val="21"/>
              </w:rPr>
              <w:t xml:space="preserve">QA Engineer (Part-time)</w:t>
            </w:r>
          </w:p>
        </w:tc>
        <w:tc>
          <w:tcPr>
            <w:tcW w:type="pct" w:w="18%"/>
            <w:shd w:fill="f8f9fa" w:val="clear"/>
            <w:tcMar>
              <w:top w:type="dxa" w:w="60"/>
              <w:left w:type="dxa" w:w="100"/>
              <w:bottom w:type="dxa" w:w="60"/>
              <w:right w:type="dxa" w:w="100"/>
            </w:tcMar>
          </w:tcPr>
          <w:p>
            <w:pPr>
              <w:jc w:val="right"/>
            </w:pPr>
            <w:r>
              <w:rPr>
                <w:rFonts w:ascii="Cairo" w:eastAsia="Cairo"/>
                <w:color w:val="1a1a2e"/>
                <w:sz w:val="21"/>
                <w:szCs w:val="21"/>
              </w:rPr>
              <w:t xml:space="preserve">400</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60</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24,000</w:t>
            </w:r>
          </w:p>
        </w:tc>
      </w:tr>
      <w:tr>
        <w:trPr>
          <w:cantSplit/>
        </w:trPr>
        <w:tc>
          <w:tcPr>
            <w:tcW w:type="pct" w:w="32%"/>
            <w:shd w:fill="FFFFFF" w:val="clear"/>
            <w:tcMar>
              <w:top w:type="dxa" w:w="60"/>
              <w:left w:type="dxa" w:w="100"/>
              <w:bottom w:type="dxa" w:w="60"/>
              <w:right w:type="dxa" w:w="100"/>
            </w:tcMar>
          </w:tcPr>
          <w:p>
            <w:pPr>
              <w:jc w:val="right"/>
            </w:pPr>
            <w:r>
              <w:rPr>
                <w:rFonts w:ascii="Cairo" w:eastAsia="Cairo"/>
                <w:color w:val="1a1a2e"/>
                <w:sz w:val="21"/>
                <w:szCs w:val="21"/>
              </w:rPr>
              <w:t xml:space="preserve">Project Manager (Part-time)</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300</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90</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27,000</w:t>
            </w:r>
          </w:p>
        </w:tc>
      </w:tr>
      <w:tr>
        <w:trPr>
          <w:cantSplit/>
        </w:trPr>
        <w:tc>
          <w:tcPr>
            <w:tcW w:type="pct" w:w="32%"/>
            <w:shd w:fill="f8f9fa" w:val="clear"/>
            <w:tcMar>
              <w:top w:type="dxa" w:w="60"/>
              <w:left w:type="dxa" w:w="100"/>
              <w:bottom w:type="dxa" w:w="60"/>
              <w:right w:type="dxa" w:w="100"/>
            </w:tcMar>
          </w:tcPr>
          <w:p>
            <w:pPr>
              <w:jc w:val="right"/>
            </w:pPr>
            <w:r>
              <w:rPr>
                <w:rFonts w:ascii="Cairo" w:eastAsia="Cairo"/>
                <w:color w:val="1a1a2e"/>
                <w:sz w:val="21"/>
                <w:szCs w:val="21"/>
              </w:rPr>
              <w:t xml:space="preserve">UI/UX Designer (Contract)</w:t>
            </w:r>
          </w:p>
        </w:tc>
        <w:tc>
          <w:tcPr>
            <w:tcW w:type="pct" w:w="18%"/>
            <w:shd w:fill="f8f9fa" w:val="clear"/>
            <w:tcMar>
              <w:top w:type="dxa" w:w="60"/>
              <w:left w:type="dxa" w:w="100"/>
              <w:bottom w:type="dxa" w:w="60"/>
              <w:right w:type="dxa" w:w="100"/>
            </w:tcMar>
          </w:tcPr>
          <w:p>
            <w:pPr>
              <w:jc w:val="right"/>
            </w:pPr>
            <w:r>
              <w:rPr>
                <w:rFonts w:ascii="Cairo" w:eastAsia="Cairo"/>
                <w:color w:val="1a1a2e"/>
                <w:sz w:val="21"/>
                <w:szCs w:val="21"/>
              </w:rPr>
              <w:t xml:space="preserve">200</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80</w:t>
            </w:r>
          </w:p>
        </w:tc>
        <w:tc>
          <w:tcPr>
            <w:tcW w:type="pct" w:w="28%"/>
            <w:shd w:fill="f8f9fa" w:val="clear"/>
            <w:tcMar>
              <w:top w:type="dxa" w:w="60"/>
              <w:left w:type="dxa" w:w="100"/>
              <w:bottom w:type="dxa" w:w="60"/>
              <w:right w:type="dxa" w:w="100"/>
            </w:tcMar>
          </w:tcPr>
          <w:p>
            <w:pPr>
              <w:jc w:val="right"/>
            </w:pPr>
            <w:r>
              <w:rPr>
                <w:rFonts w:ascii="Cairo" w:eastAsia="Cairo"/>
                <w:color w:val="1a1a2e"/>
                <w:sz w:val="21"/>
                <w:szCs w:val="21"/>
              </w:rPr>
              <w:t xml:space="preserve">16,000</w:t>
            </w:r>
          </w:p>
        </w:tc>
      </w:tr>
      <w:tr>
        <w:trPr>
          <w:cantSplit/>
        </w:trPr>
        <w:tc>
          <w:tcPr>
            <w:tcW w:type="pct" w:w="32%"/>
            <w:shd w:fill="FFFFFF" w:val="clear"/>
            <w:tcMar>
              <w:top w:type="dxa" w:w="60"/>
              <w:left w:type="dxa" w:w="100"/>
              <w:bottom w:type="dxa" w:w="60"/>
              <w:right w:type="dxa" w:w="100"/>
            </w:tcMar>
          </w:tcPr>
          <w:p>
            <w:pPr>
              <w:jc w:val="right"/>
            </w:pPr>
            <w:r>
              <w:rPr>
                <w:rFonts w:ascii="Cairo" w:eastAsia="Cairo"/>
                <w:color w:val="1a1a2e"/>
                <w:sz w:val="21"/>
                <w:szCs w:val="21"/>
              </w:rPr>
              <w:t xml:space="preserve">إجمالي التطوير</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w:t>
            </w:r>
          </w:p>
        </w:tc>
        <w:tc>
          <w:tcPr>
            <w:tcW w:type="pct" w:w="28%"/>
            <w:shd w:fill="FFFFFF" w:val="clear"/>
            <w:tcMar>
              <w:top w:type="dxa" w:w="60"/>
              <w:left w:type="dxa" w:w="100"/>
              <w:bottom w:type="dxa" w:w="60"/>
              <w:right w:type="dxa" w:w="100"/>
            </w:tcMar>
          </w:tcPr>
          <w:p>
            <w:pPr>
              <w:jc w:val="right"/>
            </w:pPr>
            <w:r>
              <w:rPr>
                <w:rFonts w:ascii="Cairo" w:eastAsia="Cairo"/>
                <w:color w:val="1a1a2e"/>
                <w:sz w:val="21"/>
                <w:szCs w:val="21"/>
              </w:rPr>
              <w:t xml:space="preserve">316,600</w:t>
            </w:r>
          </w:p>
        </w:tc>
      </w:tr>
    </w:tbl>
    <w:p>
      <w:pPr>
        <w:pStyle w:val="Heading2"/>
        <w:spacing w:after="150" w:before="300" w:line="340"/>
        <w:jc w:val="right"/>
      </w:pPr>
      <w:bookmarkStart w:id="100110" w:name="_Toc100110"/>
      <w:r>
        <w:rPr>
          <w:rFonts w:ascii="Cairo" w:eastAsia="Cairo"/>
          <w:b/>
          <w:bCs/>
          <w:color w:val="0a9396"/>
          <w:sz w:val="30"/>
          <w:szCs w:val="30"/>
        </w:rPr>
        <w:t xml:space="preserve">12.3 التكاليف التشغيلية (Operational Costs)</w:t>
      </w:r>
      <w:bookmarkEnd w:id="100110"/>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3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البند</w:t>
            </w:r>
          </w:p>
        </w:tc>
        <w:tc>
          <w:tcPr>
            <w:tcW w:type="pct" w:w="2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التكلفة الشهرية</w:t>
            </w:r>
          </w:p>
        </w:tc>
        <w:tc>
          <w:tcPr>
            <w:tcW w:type="pct" w:w="15%"/>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المدة</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الإجمالي</w:t>
            </w:r>
          </w:p>
        </w:tc>
      </w:tr>
      <w:tr>
        <w:trPr>
          <w:cantSplit/>
        </w:trPr>
        <w:tc>
          <w:tcPr>
            <w:tcW w:type="pct" w:w="38%"/>
            <w:shd w:fill="FFFFFF" w:val="clear"/>
            <w:tcMar>
              <w:top w:type="dxa" w:w="60"/>
              <w:left w:type="dxa" w:w="100"/>
              <w:bottom w:type="dxa" w:w="60"/>
              <w:right w:type="dxa" w:w="100"/>
            </w:tcMar>
          </w:tcPr>
          <w:p>
            <w:pPr>
              <w:jc w:val="right"/>
            </w:pPr>
            <w:r>
              <w:rPr>
                <w:rFonts w:ascii="Cairo" w:eastAsia="Cairo"/>
                <w:color w:val="1a1a2e"/>
                <w:sz w:val="21"/>
                <w:szCs w:val="21"/>
              </w:rPr>
              <w:t xml:space="preserve">أدوات التطوير (GitHub, Figma...)</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500</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6</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3,000</w:t>
            </w:r>
          </w:p>
        </w:tc>
      </w:tr>
      <w:tr>
        <w:trPr>
          <w:cantSplit/>
        </w:trPr>
        <w:tc>
          <w:tcPr>
            <w:tcW w:type="pct" w:w="38%"/>
            <w:shd w:fill="f8f9fa" w:val="clear"/>
            <w:tcMar>
              <w:top w:type="dxa" w:w="60"/>
              <w:left w:type="dxa" w:w="100"/>
              <w:bottom w:type="dxa" w:w="60"/>
              <w:right w:type="dxa" w:w="100"/>
            </w:tcMar>
          </w:tcPr>
          <w:p>
            <w:pPr>
              <w:jc w:val="right"/>
            </w:pPr>
            <w:r>
              <w:rPr>
                <w:rFonts w:ascii="Cairo" w:eastAsia="Cairo"/>
                <w:color w:val="1a1a2e"/>
                <w:sz w:val="21"/>
                <w:szCs w:val="21"/>
              </w:rPr>
              <w:t xml:space="preserve">استضافة (للتوثيق والتحديثات)</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200</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6</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1,200</w:t>
            </w:r>
          </w:p>
        </w:tc>
      </w:tr>
      <w:tr>
        <w:trPr>
          <w:cantSplit/>
        </w:trPr>
        <w:tc>
          <w:tcPr>
            <w:tcW w:type="pct" w:w="38%"/>
            <w:shd w:fill="FFFFFF" w:val="clear"/>
            <w:tcMar>
              <w:top w:type="dxa" w:w="60"/>
              <w:left w:type="dxa" w:w="100"/>
              <w:bottom w:type="dxa" w:w="60"/>
              <w:right w:type="dxa" w:w="100"/>
            </w:tcMar>
          </w:tcPr>
          <w:p>
            <w:pPr>
              <w:jc w:val="right"/>
            </w:pPr>
            <w:r>
              <w:rPr>
                <w:rFonts w:ascii="Cairo" w:eastAsia="Cairo"/>
                <w:color w:val="1a1a2e"/>
                <w:sz w:val="21"/>
                <w:szCs w:val="21"/>
              </w:rPr>
              <w:t xml:space="preserve">شهادات SSL ورموز التوقيع</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300</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6</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1,800</w:t>
            </w:r>
          </w:p>
        </w:tc>
      </w:tr>
      <w:tr>
        <w:trPr>
          <w:cantSplit/>
        </w:trPr>
        <w:tc>
          <w:tcPr>
            <w:tcW w:type="pct" w:w="38%"/>
            <w:shd w:fill="f8f9fa" w:val="clear"/>
            <w:tcMar>
              <w:top w:type="dxa" w:w="60"/>
              <w:left w:type="dxa" w:w="100"/>
              <w:bottom w:type="dxa" w:w="60"/>
              <w:right w:type="dxa" w:w="100"/>
            </w:tcMar>
          </w:tcPr>
          <w:p>
            <w:pPr>
              <w:jc w:val="right"/>
            </w:pPr>
            <w:r>
              <w:rPr>
                <w:rFonts w:ascii="Cairo" w:eastAsia="Cairo"/>
                <w:color w:val="1a1a2e"/>
                <w:sz w:val="21"/>
                <w:szCs w:val="21"/>
              </w:rPr>
              <w:t xml:space="preserve">حجز النطاقات والتخزين السحابي</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150</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6</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900</w:t>
            </w:r>
          </w:p>
        </w:tc>
      </w:tr>
      <w:tr>
        <w:trPr>
          <w:cantSplit/>
        </w:trPr>
        <w:tc>
          <w:tcPr>
            <w:tcW w:type="pct" w:w="38%"/>
            <w:shd w:fill="FFFFFF" w:val="clear"/>
            <w:tcMar>
              <w:top w:type="dxa" w:w="60"/>
              <w:left w:type="dxa" w:w="100"/>
              <w:bottom w:type="dxa" w:w="60"/>
              <w:right w:type="dxa" w:w="100"/>
            </w:tcMar>
          </w:tcPr>
          <w:p>
            <w:pPr>
              <w:jc w:val="right"/>
            </w:pPr>
            <w:r>
              <w:rPr>
                <w:rFonts w:ascii="Cairo" w:eastAsia="Cairo"/>
                <w:color w:val="1a1a2e"/>
                <w:sz w:val="21"/>
                <w:szCs w:val="21"/>
              </w:rPr>
              <w:t xml:space="preserve">مصاريف متنوعة (Contingency)</w:t>
            </w:r>
          </w:p>
        </w:tc>
        <w:tc>
          <w:tcPr>
            <w:tcW w:type="pct" w:w="25%"/>
            <w:shd w:fill="FFFFFF" w:val="clear"/>
            <w:tcMar>
              <w:top w:type="dxa" w:w="60"/>
              <w:left w:type="dxa" w:w="100"/>
              <w:bottom w:type="dxa" w:w="60"/>
              <w:right w:type="dxa" w:w="100"/>
            </w:tcMar>
          </w:tcPr>
          <w:p>
            <w:pPr>
              <w:jc w:val="right"/>
            </w:pPr>
            <w:r>
              <w:rPr>
                <w:rFonts w:ascii="Cairo" w:eastAsia="Cairo"/>
                <w:color w:val="1a1a2e"/>
                <w:sz w:val="21"/>
                <w:szCs w:val="21"/>
              </w:rPr>
              <w:t xml:space="preserve">500</w:t>
            </w:r>
          </w:p>
        </w:tc>
        <w:tc>
          <w:tcPr>
            <w:tcW w:type="pct" w:w="15%"/>
            <w:shd w:fill="FFFFFF" w:val="clear"/>
            <w:tcMar>
              <w:top w:type="dxa" w:w="60"/>
              <w:left w:type="dxa" w:w="100"/>
              <w:bottom w:type="dxa" w:w="60"/>
              <w:right w:type="dxa" w:w="100"/>
            </w:tcMar>
          </w:tcPr>
          <w:p>
            <w:pPr>
              <w:jc w:val="right"/>
            </w:pPr>
            <w:r>
              <w:rPr>
                <w:rFonts w:ascii="Cairo" w:eastAsia="Cairo"/>
                <w:color w:val="1a1a2e"/>
                <w:sz w:val="21"/>
                <w:szCs w:val="21"/>
              </w:rPr>
              <w:t xml:space="preserve">6</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3,000</w:t>
            </w:r>
          </w:p>
        </w:tc>
      </w:tr>
      <w:tr>
        <w:trPr>
          <w:cantSplit/>
        </w:trPr>
        <w:tc>
          <w:tcPr>
            <w:tcW w:type="pct" w:w="38%"/>
            <w:shd w:fill="f8f9fa" w:val="clear"/>
            <w:tcMar>
              <w:top w:type="dxa" w:w="60"/>
              <w:left w:type="dxa" w:w="100"/>
              <w:bottom w:type="dxa" w:w="60"/>
              <w:right w:type="dxa" w:w="100"/>
            </w:tcMar>
          </w:tcPr>
          <w:p>
            <w:pPr>
              <w:jc w:val="right"/>
            </w:pPr>
            <w:r>
              <w:rPr>
                <w:rFonts w:ascii="Cairo" w:eastAsia="Cairo"/>
                <w:color w:val="1a1a2e"/>
                <w:sz w:val="21"/>
                <w:szCs w:val="21"/>
              </w:rPr>
              <w:t xml:space="preserve">إجمالي التشغيلي</w:t>
            </w:r>
          </w:p>
        </w:tc>
        <w:tc>
          <w:tcPr>
            <w:tcW w:type="pct" w:w="25%"/>
            <w:shd w:fill="f8f9fa" w:val="clear"/>
            <w:tcMar>
              <w:top w:type="dxa" w:w="60"/>
              <w:left w:type="dxa" w:w="100"/>
              <w:bottom w:type="dxa" w:w="60"/>
              <w:right w:type="dxa" w:w="100"/>
            </w:tcMar>
          </w:tcPr>
          <w:p>
            <w:pPr>
              <w:jc w:val="right"/>
            </w:pPr>
            <w:r>
              <w:rPr>
                <w:rFonts w:ascii="Cairo" w:eastAsia="Cairo"/>
                <w:color w:val="1a1a2e"/>
                <w:sz w:val="21"/>
                <w:szCs w:val="21"/>
              </w:rPr>
              <w:t xml:space="preserve">-</w:t>
            </w:r>
          </w:p>
        </w:tc>
        <w:tc>
          <w:tcPr>
            <w:tcW w:type="pct" w:w="15%"/>
            <w:shd w:fill="f8f9fa" w:val="clear"/>
            <w:tcMar>
              <w:top w:type="dxa" w:w="60"/>
              <w:left w:type="dxa" w:w="100"/>
              <w:bottom w:type="dxa" w:w="60"/>
              <w:right w:type="dxa" w:w="100"/>
            </w:tcMar>
          </w:tcPr>
          <w:p>
            <w:pPr>
              <w:jc w:val="right"/>
            </w:pPr>
            <w:r>
              <w:rPr>
                <w:rFonts w:ascii="Cairo" w:eastAsia="Cairo"/>
                <w:color w:val="1a1a2e"/>
                <w:sz w:val="21"/>
                <w:szCs w:val="21"/>
              </w:rPr>
              <w:t xml:space="preserve">-</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9,900</w:t>
            </w:r>
          </w:p>
        </w:tc>
      </w:tr>
    </w:tbl>
    <w:p>
      <w:pPr>
        <w:pStyle w:val="Heading2"/>
        <w:spacing w:after="150" w:before="300" w:line="340"/>
        <w:jc w:val="right"/>
      </w:pPr>
      <w:bookmarkStart w:id="100111" w:name="_Toc100111"/>
      <w:r>
        <w:rPr>
          <w:rFonts w:ascii="Cairo" w:eastAsia="Cairo"/>
          <w:b/>
          <w:bCs/>
          <w:color w:val="0a9396"/>
          <w:sz w:val="30"/>
          <w:szCs w:val="30"/>
        </w:rPr>
        <w:t xml:space="preserve">12.4 الميزانية الإجمالية (Total Budget)</w:t>
      </w:r>
      <w:bookmarkEnd w:id="100111"/>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tblGrid>
      <w:tr>
        <w:trPr>
          <w:cantSplit/>
          <w:tblHeader/>
        </w:trPr>
        <w:tc>
          <w:tcPr>
            <w:tcW w:type="pct" w:w="4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البند</w:t>
            </w:r>
          </w:p>
        </w:tc>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المبلغ (ريال)</w:t>
            </w:r>
          </w:p>
        </w:tc>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النسبة</w:t>
            </w:r>
          </w:p>
        </w:tc>
      </w:tr>
      <w:tr>
        <w:trPr>
          <w:cantSplit/>
        </w:trPr>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تكاليف التطوير</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316,600</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94%</w:t>
            </w:r>
          </w:p>
        </w:tc>
      </w:tr>
      <w:tr>
        <w:trPr>
          <w:cantSplit/>
        </w:trPr>
        <w:tc>
          <w:tcPr>
            <w:tcW w:type="pct" w:w="40%"/>
            <w:shd w:fill="f8f9fa" w:val="clear"/>
            <w:tcMar>
              <w:top w:type="dxa" w:w="60"/>
              <w:left w:type="dxa" w:w="100"/>
              <w:bottom w:type="dxa" w:w="60"/>
              <w:right w:type="dxa" w:w="100"/>
            </w:tcMar>
          </w:tcPr>
          <w:p>
            <w:pPr>
              <w:jc w:val="right"/>
            </w:pPr>
            <w:r>
              <w:rPr>
                <w:rFonts w:ascii="Cairo" w:eastAsia="Cairo"/>
                <w:color w:val="1a1a2e"/>
                <w:sz w:val="21"/>
                <w:szCs w:val="21"/>
              </w:rPr>
              <w:t xml:space="preserve">تكاليف تشغيلية</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9,900</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3%</w:t>
            </w:r>
          </w:p>
        </w:tc>
      </w:tr>
      <w:tr>
        <w:trPr>
          <w:cantSplit/>
        </w:trPr>
        <w:tc>
          <w:tcPr>
            <w:tcW w:type="pct" w:w="40%"/>
            <w:shd w:fill="FFFFFF" w:val="clear"/>
            <w:tcMar>
              <w:top w:type="dxa" w:w="60"/>
              <w:left w:type="dxa" w:w="100"/>
              <w:bottom w:type="dxa" w:w="60"/>
              <w:right w:type="dxa" w:w="100"/>
            </w:tcMar>
          </w:tcPr>
          <w:p>
            <w:pPr>
              <w:jc w:val="right"/>
            </w:pPr>
            <w:r>
              <w:rPr>
                <w:rFonts w:ascii="Cairo" w:eastAsia="Cairo"/>
                <w:color w:val="1a1a2e"/>
                <w:sz w:val="21"/>
                <w:szCs w:val="21"/>
              </w:rPr>
              <w:t xml:space="preserve">احتياطي طوارئ (10%)</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32,650</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3%</w:t>
            </w:r>
          </w:p>
        </w:tc>
      </w:tr>
      <w:tr>
        <w:trPr>
          <w:cantSplit/>
        </w:trPr>
        <w:tc>
          <w:tcPr>
            <w:tcW w:type="pct" w:w="40%"/>
            <w:shd w:fill="f8f9fa" w:val="clear"/>
            <w:tcMar>
              <w:top w:type="dxa" w:w="60"/>
              <w:left w:type="dxa" w:w="100"/>
              <w:bottom w:type="dxa" w:w="60"/>
              <w:right w:type="dxa" w:w="100"/>
            </w:tcMar>
          </w:tcPr>
          <w:p>
            <w:pPr>
              <w:jc w:val="right"/>
            </w:pPr>
            <w:r>
              <w:rPr>
                <w:rFonts w:ascii="Cairo" w:eastAsia="Cairo"/>
                <w:color w:val="1a1a2e"/>
                <w:sz w:val="21"/>
                <w:szCs w:val="21"/>
              </w:rPr>
              <w:t xml:space="preserve">الإجمالي الكلي</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359,150</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100%</w:t>
            </w:r>
          </w:p>
        </w:tc>
      </w:tr>
    </w:tbl>
    <w:p>
      <w:pPr>
        <w:pStyle w:val="Heading2"/>
        <w:spacing w:after="150" w:before="300" w:line="340"/>
        <w:jc w:val="right"/>
      </w:pPr>
      <w:bookmarkStart w:id="100112" w:name="_Toc100112"/>
      <w:r>
        <w:rPr>
          <w:rFonts w:ascii="Cairo" w:eastAsia="Cairo"/>
          <w:b/>
          <w:bCs/>
          <w:color w:val="0a9396"/>
          <w:sz w:val="30"/>
          <w:szCs w:val="30"/>
        </w:rPr>
        <w:t xml:space="preserve">12.5 projections مالية (Financial Projections)</w:t>
      </w:r>
      <w:bookmarkEnd w:id="100112"/>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البند</w:t>
            </w:r>
          </w:p>
        </w:tc>
        <w:tc>
          <w:tcPr>
            <w:tcW w:type="pct" w:w="2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السنة 1</w:t>
            </w:r>
          </w:p>
        </w:tc>
        <w:tc>
          <w:tcPr>
            <w:tcW w:type="pct" w:w="23%"/>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السنة 2</w:t>
            </w:r>
          </w:p>
        </w:tc>
        <w:tc>
          <w:tcPr>
            <w:tcW w:type="pct" w:w="24%"/>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السنة 3</w:t>
            </w:r>
          </w:p>
        </w:tc>
      </w:tr>
      <w:tr>
        <w:trPr>
          <w:cantSplit/>
        </w:trPr>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عدد الرخص المباعة</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500</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1200</w:t>
            </w:r>
          </w:p>
        </w:tc>
        <w:tc>
          <w:tcPr>
            <w:tcW w:type="pct" w:w="24%"/>
            <w:shd w:fill="FFFFFF" w:val="clear"/>
            <w:tcMar>
              <w:top w:type="dxa" w:w="60"/>
              <w:left w:type="dxa" w:w="100"/>
              <w:bottom w:type="dxa" w:w="60"/>
              <w:right w:type="dxa" w:w="100"/>
            </w:tcMar>
          </w:tcPr>
          <w:p>
            <w:pPr>
              <w:jc w:val="right"/>
            </w:pPr>
            <w:r>
              <w:rPr>
                <w:rFonts w:ascii="Cairo" w:eastAsia="Cairo"/>
                <w:color w:val="1a1a2e"/>
                <w:sz w:val="21"/>
                <w:szCs w:val="21"/>
              </w:rPr>
              <w:t xml:space="preserve">2000</w:t>
            </w:r>
          </w:p>
        </w:tc>
      </w:tr>
      <w:tr>
        <w:trPr>
          <w:cantSplit/>
        </w:trPr>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سعر الرخصة (متوسط)</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300</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280</w:t>
            </w:r>
          </w:p>
        </w:tc>
        <w:tc>
          <w:tcPr>
            <w:tcW w:type="pct" w:w="24%"/>
            <w:shd w:fill="f8f9fa" w:val="clear"/>
            <w:tcMar>
              <w:top w:type="dxa" w:w="60"/>
              <w:left w:type="dxa" w:w="100"/>
              <w:bottom w:type="dxa" w:w="60"/>
              <w:right w:type="dxa" w:w="100"/>
            </w:tcMar>
          </w:tcPr>
          <w:p>
            <w:pPr>
              <w:jc w:val="right"/>
            </w:pPr>
            <w:r>
              <w:rPr>
                <w:rFonts w:ascii="Cairo" w:eastAsia="Cairo"/>
                <w:color w:val="1a1a2e"/>
                <w:sz w:val="21"/>
                <w:szCs w:val="21"/>
              </w:rPr>
              <w:t xml:space="preserve">260</w:t>
            </w:r>
          </w:p>
        </w:tc>
      </w:tr>
      <w:tr>
        <w:trPr>
          <w:cantSplit/>
        </w:trPr>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إيرادات المبيعات</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150,000</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336,000</w:t>
            </w:r>
          </w:p>
        </w:tc>
        <w:tc>
          <w:tcPr>
            <w:tcW w:type="pct" w:w="24%"/>
            <w:shd w:fill="FFFFFF" w:val="clear"/>
            <w:tcMar>
              <w:top w:type="dxa" w:w="60"/>
              <w:left w:type="dxa" w:w="100"/>
              <w:bottom w:type="dxa" w:w="60"/>
              <w:right w:type="dxa" w:w="100"/>
            </w:tcMar>
          </w:tcPr>
          <w:p>
            <w:pPr>
              <w:jc w:val="right"/>
            </w:pPr>
            <w:r>
              <w:rPr>
                <w:rFonts w:ascii="Cairo" w:eastAsia="Cairo"/>
                <w:color w:val="1a1a2e"/>
                <w:sz w:val="21"/>
                <w:szCs w:val="21"/>
              </w:rPr>
              <w:t xml:space="preserve">520,000</w:t>
            </w:r>
          </w:p>
        </w:tc>
      </w:tr>
      <w:tr>
        <w:trPr>
          <w:cantSplit/>
        </w:trPr>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تكاليف التشغيل</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50,000</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80,000</w:t>
            </w:r>
          </w:p>
        </w:tc>
        <w:tc>
          <w:tcPr>
            <w:tcW w:type="pct" w:w="24%"/>
            <w:shd w:fill="f8f9fa" w:val="clear"/>
            <w:tcMar>
              <w:top w:type="dxa" w:w="60"/>
              <w:left w:type="dxa" w:w="100"/>
              <w:bottom w:type="dxa" w:w="60"/>
              <w:right w:type="dxa" w:w="100"/>
            </w:tcMar>
          </w:tcPr>
          <w:p>
            <w:pPr>
              <w:jc w:val="right"/>
            </w:pPr>
            <w:r>
              <w:rPr>
                <w:rFonts w:ascii="Cairo" w:eastAsia="Cairo"/>
                <w:color w:val="1a1a2e"/>
                <w:sz w:val="21"/>
                <w:szCs w:val="21"/>
              </w:rPr>
              <w:t xml:space="preserve">120,000</w:t>
            </w:r>
          </w:p>
        </w:tc>
      </w:tr>
      <w:tr>
        <w:trPr>
          <w:cantSplit/>
        </w:trPr>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صافي الربح</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100,000</w:t>
            </w:r>
          </w:p>
        </w:tc>
        <w:tc>
          <w:tcPr>
            <w:tcW w:type="pct" w:w="23%"/>
            <w:shd w:fill="FFFFFF" w:val="clear"/>
            <w:tcMar>
              <w:top w:type="dxa" w:w="60"/>
              <w:left w:type="dxa" w:w="100"/>
              <w:bottom w:type="dxa" w:w="60"/>
              <w:right w:type="dxa" w:w="100"/>
            </w:tcMar>
          </w:tcPr>
          <w:p>
            <w:pPr>
              <w:jc w:val="right"/>
            </w:pPr>
            <w:r>
              <w:rPr>
                <w:rFonts w:ascii="Cairo" w:eastAsia="Cairo"/>
                <w:color w:val="1a1a2e"/>
                <w:sz w:val="21"/>
                <w:szCs w:val="21"/>
              </w:rPr>
              <w:t xml:space="preserve">256,000</w:t>
            </w:r>
          </w:p>
        </w:tc>
        <w:tc>
          <w:tcPr>
            <w:tcW w:type="pct" w:w="24%"/>
            <w:shd w:fill="FFFFFF" w:val="clear"/>
            <w:tcMar>
              <w:top w:type="dxa" w:w="60"/>
              <w:left w:type="dxa" w:w="100"/>
              <w:bottom w:type="dxa" w:w="60"/>
              <w:right w:type="dxa" w:w="100"/>
            </w:tcMar>
          </w:tcPr>
          <w:p>
            <w:pPr>
              <w:jc w:val="right"/>
            </w:pPr>
            <w:r>
              <w:rPr>
                <w:rFonts w:ascii="Cairo" w:eastAsia="Cairo"/>
                <w:color w:val="1a1a2e"/>
                <w:sz w:val="21"/>
                <w:szCs w:val="21"/>
              </w:rPr>
              <w:t xml:space="preserve">400,000</w:t>
            </w:r>
          </w:p>
        </w:tc>
      </w:tr>
      <w:tr>
        <w:trPr>
          <w:cantSplit/>
        </w:trPr>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تراكمي (Cumulative)</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-259,150</w:t>
            </w:r>
          </w:p>
        </w:tc>
        <w:tc>
          <w:tcPr>
            <w:tcW w:type="pct" w:w="23%"/>
            <w:shd w:fill="f8f9fa" w:val="clear"/>
            <w:tcMar>
              <w:top w:type="dxa" w:w="60"/>
              <w:left w:type="dxa" w:w="100"/>
              <w:bottom w:type="dxa" w:w="60"/>
              <w:right w:type="dxa" w:w="100"/>
            </w:tcMar>
          </w:tcPr>
          <w:p>
            <w:pPr>
              <w:jc w:val="right"/>
            </w:pPr>
            <w:r>
              <w:rPr>
                <w:rFonts w:ascii="Cairo" w:eastAsia="Cairo"/>
                <w:color w:val="1a1a2e"/>
                <w:sz w:val="21"/>
                <w:szCs w:val="21"/>
              </w:rPr>
              <w:t xml:space="preserve">-3,150</w:t>
            </w:r>
          </w:p>
        </w:tc>
        <w:tc>
          <w:tcPr>
            <w:tcW w:type="pct" w:w="24%"/>
            <w:shd w:fill="f8f9fa" w:val="clear"/>
            <w:tcMar>
              <w:top w:type="dxa" w:w="60"/>
              <w:left w:type="dxa" w:w="100"/>
              <w:bottom w:type="dxa" w:w="60"/>
              <w:right w:type="dxa" w:w="100"/>
            </w:tcMar>
          </w:tcPr>
          <w:p>
            <w:pPr>
              <w:jc w:val="right"/>
            </w:pPr>
            <w:r>
              <w:rPr>
                <w:rFonts w:ascii="Cairo" w:eastAsia="Cairo"/>
                <w:color w:val="1a1a2e"/>
                <w:sz w:val="21"/>
                <w:szCs w:val="21"/>
              </w:rPr>
              <w:t xml:space="preserve">396,850</w:t>
            </w:r>
          </w:p>
        </w:tc>
      </w:tr>
    </w:tbl>
    <w:p>
      <w:pPr>
        <w:pStyle w:val="Heading1"/>
        <w:spacing w:after="200" w:before="400" w:line="360"/>
        <w:jc w:val="right"/>
      </w:pPr>
      <w:bookmarkStart w:id="100113" w:name="_Toc100113"/>
      <w:r>
        <w:rPr>
          <w:rFonts w:ascii="Cairo" w:eastAsia="Cairo"/>
          <w:b/>
          <w:bCs/>
          <w:color w:val="005f73"/>
          <w:sz w:val="36"/>
          <w:szCs w:val="36"/>
        </w:rPr>
        <w:t xml:space="preserve">13. خطة الإصدار والنشر (Build &amp; Deployment Plan)</w:t>
      </w:r>
      <w:bookmarkEnd w:id="100113"/>
    </w:p>
    <w:p>
      <w:pPr>
        <w:pStyle w:val="Heading2"/>
        <w:spacing w:after="150" w:before="300" w:line="340"/>
        <w:jc w:val="right"/>
      </w:pPr>
      <w:bookmarkStart w:id="100114" w:name="_Toc100114"/>
      <w:r>
        <w:rPr>
          <w:rFonts w:ascii="Cairo" w:eastAsia="Cairo"/>
          <w:b/>
          <w:bCs/>
          <w:color w:val="0a9396"/>
          <w:sz w:val="30"/>
          <w:szCs w:val="30"/>
        </w:rPr>
        <w:t xml:space="preserve">13.1 إعداد Electron Builder</w:t>
      </w:r>
      <w:bookmarkEnd w:id="100114"/>
    </w:p>
    <w:p>
      <w:pPr>
        <w:spacing w:after="160" w:line="360"/>
        <w:ind w:firstLine="480"/>
        <w:jc w:val="both"/>
      </w:pPr>
      <w:r>
        <w:rPr>
          <w:rFonts w:ascii="Cairo" w:eastAsia="Cairo"/>
          <w:color w:val="1a1a2e"/>
          <w:sz w:val="24"/>
          <w:szCs w:val="24"/>
        </w:rPr>
        <w:t xml:space="preserve">Electron Builder هو الأداة المسؤولة عن تحويل تطبيق الويب إلى ملف تثبيت executable. الإعدادات الأساسية في package.json تتضمن: appId: com.company.accountingpro، productName: Accounting Pro، target: nsis (مع installer) و portable (بدون تثبيت)، icon: public/icon.ico.</w:t>
      </w:r>
    </w:p>
    <w:p>
      <w:pPr>
        <w:pStyle w:val="Heading2"/>
        <w:spacing w:after="150" w:before="300" w:line="340"/>
        <w:jc w:val="right"/>
      </w:pPr>
      <w:bookmarkStart w:id="100115" w:name="_Toc100115"/>
      <w:r>
        <w:rPr>
          <w:rFonts w:ascii="Cairo" w:eastAsia="Cairo"/>
          <w:b/>
          <w:bCs/>
          <w:color w:val="0a9396"/>
          <w:sz w:val="30"/>
          <w:szCs w:val="30"/>
        </w:rPr>
        <w:t xml:space="preserve">13.2 أنواع المخرجات (Output Targets)</w:t>
      </w:r>
      <w:bookmarkEnd w:id="100115"/>
    </w:p>
    <w:p>
      <w:pPr>
        <w:spacing w:after="160" w:line="360"/>
        <w:ind w:firstLine="480"/>
        <w:jc w:val="both"/>
      </w:pPr>
      <w:r>
        <w:rPr>
          <w:rFonts w:ascii="Cairo" w:eastAsia="Cairo"/>
          <w:color w:val="1a1a2e"/>
          <w:sz w:val="24"/>
          <w:szCs w:val="24"/>
        </w:rPr>
        <w:t xml:space="preserve">NSIS Installer: ملف setup.exe تقليدي مع معالج تثبيت. يدعم خيارات التثبيت (المسار، الاختصارات). حجم أصغر (~150MB). Portable: ملف exe واحد يعمل مباشرة بدون تثبيت. مناسب للاستخدام من USB. حجم أكبر قليلاً.</w:t>
      </w:r>
    </w:p>
    <w:p>
      <w:pPr>
        <w:pStyle w:val="Heading2"/>
        <w:spacing w:after="150" w:before="300" w:line="340"/>
        <w:jc w:val="right"/>
      </w:pPr>
      <w:bookmarkStart w:id="100116" w:name="_Toc100116"/>
      <w:r>
        <w:rPr>
          <w:rFonts w:ascii="Cairo" w:eastAsia="Cairo"/>
          <w:b/>
          <w:bCs/>
          <w:color w:val="0a9396"/>
          <w:sz w:val="30"/>
          <w:szCs w:val="30"/>
        </w:rPr>
        <w:t xml:space="preserve">13.3 استراتيجية قاعدة البيانات</w:t>
      </w:r>
      <w:bookmarkEnd w:id="100116"/>
    </w:p>
    <w:p>
      <w:pPr>
        <w:spacing w:after="160" w:line="360"/>
        <w:ind w:firstLine="480"/>
        <w:jc w:val="both"/>
      </w:pPr>
      <w:r>
        <w:rPr>
          <w:rFonts w:ascii="Cairo" w:eastAsia="Cairo"/>
          <w:color w:val="1a1a2e"/>
          <w:sz w:val="24"/>
          <w:szCs w:val="24"/>
        </w:rPr>
        <w:t xml:space="preserve">مسار قاعدة البيانات: يتم إنشاء ملف database.sqlite تلقائياً في %APPDATA%/accounting-pro/ عند أول تشغيل. هذا يضمن: عدم فقدان البيانات عند تحديث التطبيق. صلاحيات وصول مناسبة (User-writable). توافق مع سياسات أمان Windows. النسخ الاحتياطي: يوفر التطبيق زر 'تصدير' لنسخ الملف إلى مسار يختاره المستخدم. زر 'استيراد' لاستبدال قاعدة البيانات الحالية (مع تحذير ونسخ احتياطي تلقائي للقديمة).</w:t>
      </w:r>
    </w:p>
    <w:p>
      <w:pPr>
        <w:pStyle w:val="Heading2"/>
        <w:spacing w:after="150" w:before="300" w:line="340"/>
        <w:jc w:val="right"/>
      </w:pPr>
      <w:bookmarkStart w:id="100117" w:name="_Toc100117"/>
      <w:r>
        <w:rPr>
          <w:rFonts w:ascii="Cairo" w:eastAsia="Cairo"/>
          <w:b/>
          <w:bCs/>
          <w:color w:val="0a9396"/>
          <w:sz w:val="30"/>
          <w:szCs w:val="30"/>
        </w:rPr>
        <w:t xml:space="preserve">13.4 نظام التحديثات (Auto-Update)</w:t>
      </w:r>
      <w:bookmarkEnd w:id="100117"/>
    </w:p>
    <w:p>
      <w:pPr>
        <w:spacing w:after="160" w:line="360"/>
        <w:ind w:firstLine="480"/>
        <w:jc w:val="both"/>
      </w:pPr>
      <w:r>
        <w:rPr>
          <w:rFonts w:ascii="Cairo" w:eastAsia="Cairo"/>
          <w:color w:val="1a1a2e"/>
          <w:sz w:val="24"/>
          <w:szCs w:val="24"/>
        </w:rPr>
        <w:t xml:space="preserve">يستخدم التطبيق electron-updater للتحديثات التلقائية: عند بدء التطبيق، يتحقق من وجود تحديث جديد على الخادم. إذا وجد تحديث، يُعرض إشعار للمستخدم. التحميل والتثبيت في الخلفية. إعادة تشغيل التطبيق لتفعيل التحديث. هذا يتطلب استضافة ملفات التحديث على server (S3, GitHub Releases, أو server خاص).</w:t>
      </w:r>
    </w:p>
    <w:p>
      <w:pPr>
        <w:pStyle w:val="Heading2"/>
        <w:spacing w:after="150" w:before="300" w:line="340"/>
        <w:jc w:val="right"/>
      </w:pPr>
      <w:bookmarkStart w:id="100118" w:name="_Toc100118"/>
      <w:r>
        <w:rPr>
          <w:rFonts w:ascii="Cairo" w:eastAsia="Cairo"/>
          <w:b/>
          <w:bCs/>
          <w:color w:val="0a9396"/>
          <w:sz w:val="30"/>
          <w:szCs w:val="30"/>
        </w:rPr>
        <w:t xml:space="preserve">13.5 عملية البناء (Build Process)</w:t>
      </w:r>
      <w:bookmarkEnd w:id="100118"/>
    </w:p>
    <w:p>
      <w:pPr>
        <w:spacing w:after="160" w:line="360"/>
        <w:ind w:firstLine="480"/>
        <w:jc w:val="both"/>
      </w:pPr>
      <w:r>
        <w:rPr>
          <w:rFonts w:ascii="Cairo" w:eastAsia="Cairo"/>
          <w:color w:val="1a1a2e"/>
          <w:sz w:val="24"/>
          <w:szCs w:val="24"/>
        </w:rPr>
        <w:t xml:space="preserve">الأوامر المستخدمة: npm run dev - لتشغيل بيئة التطوير. npm run electron:dev - لتشغيل Electron مع DevTools. npm run build - لبناء React Production. npm run dist - لبناء حزم التثبيت النهائية. npm run publish - لبناء + رفع للتحديثات. CI/CD Pipeline: GitHub Actions للبناء التلقائي عند كل release.</w:t>
      </w:r>
    </w:p>
    <w:p>
      <w:pPr>
        <w:pStyle w:val="Heading2"/>
        <w:spacing w:after="150" w:before="300" w:line="340"/>
        <w:jc w:val="right"/>
      </w:pPr>
      <w:bookmarkStart w:id="100119" w:name="_Toc100119"/>
      <w:r>
        <w:rPr>
          <w:rFonts w:ascii="Cairo" w:eastAsia="Cairo"/>
          <w:b/>
          <w:bCs/>
          <w:color w:val="0a9396"/>
          <w:sz w:val="30"/>
          <w:szCs w:val="30"/>
        </w:rPr>
        <w:t xml:space="preserve">13.6 التوقيع الرقمي (Code Signing)</w:t>
      </w:r>
      <w:bookmarkEnd w:id="100119"/>
    </w:p>
    <w:p>
      <w:pPr>
        <w:spacing w:after="160" w:line="360"/>
        <w:ind w:firstLine="480"/>
        <w:jc w:val="both"/>
      </w:pPr>
      <w:r>
        <w:rPr>
          <w:rFonts w:ascii="Cairo" w:eastAsia="Cairo"/>
          <w:color w:val="1a1a2e"/>
          <w:sz w:val="24"/>
          <w:szCs w:val="24"/>
        </w:rPr>
        <w:t xml:space="preserve">لتجنب تحذيرات Windows SmartScreen: شراء شهادة Code Signing من جهة معتمدة (Comodo, DigiCert, Sectigo). توقيع الملف التنفيذي قبل التوزيع. التكلفة السنوية ~$200-400. الفوائد: ثقة المستخدم، تجاوز SmartScreen، مصداقية تجارية.</w:t>
      </w:r>
    </w:p>
    <w:p>
      <w:pPr>
        <w:pStyle w:val="Heading1"/>
        <w:spacing w:after="200" w:before="400" w:line="360"/>
        <w:jc w:val="right"/>
      </w:pPr>
      <w:bookmarkStart w:id="100120" w:name="_Toc100120"/>
      <w:r>
        <w:rPr>
          <w:rFonts w:ascii="Cairo" w:eastAsia="Cairo"/>
          <w:b/>
          <w:bCs/>
          <w:color w:val="005f73"/>
          <w:sz w:val="36"/>
          <w:szCs w:val="36"/>
        </w:rPr>
        <w:t xml:space="preserve">14. ضمان الجودة والاختبار (Quality Assurance &amp; Testing)</w:t>
      </w:r>
      <w:bookmarkEnd w:id="100120"/>
    </w:p>
    <w:p>
      <w:pPr>
        <w:pStyle w:val="Heading2"/>
        <w:spacing w:after="150" w:before="300" w:line="340"/>
        <w:jc w:val="right"/>
      </w:pPr>
      <w:bookmarkStart w:id="100121" w:name="_Toc100121"/>
      <w:r>
        <w:rPr>
          <w:rFonts w:ascii="Cairo" w:eastAsia="Cairo"/>
          <w:b/>
          <w:bCs/>
          <w:color w:val="0a9396"/>
          <w:sz w:val="30"/>
          <w:szCs w:val="30"/>
        </w:rPr>
        <w:t xml:space="preserve">14.1 استراتيجية الاختبار الشاملة</w:t>
      </w:r>
      <w:bookmarkEnd w:id="100121"/>
    </w:p>
    <w:p>
      <w:pPr>
        <w:spacing w:after="160" w:line="360"/>
        <w:ind w:firstLine="480"/>
        <w:jc w:val="both"/>
      </w:pPr>
      <w:r>
        <w:rPr>
          <w:rFonts w:ascii="Cairo" w:eastAsia="Cairo"/>
          <w:color w:val="1a1a2e"/>
          <w:sz w:val="24"/>
          <w:szCs w:val="24"/>
        </w:rPr>
        <w:t xml:space="preserve">يتبنى المشروع منهجية اختبار شاملة تغطي ثلاثة مستويات: Unit Testing لاختبار الوحدات المنفردة، Integration Testing لاختبار التكامل بين الوحدات، و End-to-End Testing لاختبار السيناريوهات الكاملة من وجهة نظر المستخدم.</w:t>
      </w:r>
    </w:p>
    <w:p>
      <w:pPr>
        <w:pStyle w:val="Heading2"/>
        <w:spacing w:after="150" w:before="300" w:line="340"/>
        <w:jc w:val="right"/>
      </w:pPr>
      <w:bookmarkStart w:id="100122" w:name="_Toc100122"/>
      <w:r>
        <w:rPr>
          <w:rFonts w:ascii="Cairo" w:eastAsia="Cairo"/>
          <w:b/>
          <w:bCs/>
          <w:color w:val="0a9396"/>
          <w:sz w:val="30"/>
          <w:szCs w:val="30"/>
        </w:rPr>
        <w:t xml:space="preserve">14.2 Unit Testing (اختبارات الوحدة)</w:t>
      </w:r>
      <w:bookmarkEnd w:id="100122"/>
    </w:p>
    <w:p>
      <w:pPr>
        <w:spacing w:after="160" w:line="360"/>
        <w:ind w:firstLine="480"/>
        <w:jc w:val="both"/>
      </w:pPr>
      <w:r>
        <w:rPr>
          <w:rFonts w:ascii="Cairo" w:eastAsia="Cairo"/>
          <w:color w:val="1a1a2e"/>
          <w:sz w:val="24"/>
          <w:szCs w:val="24"/>
        </w:rPr>
        <w:t xml:space="preserve">الأداة: Jest مع React Testing Library. النطاق: Components (Render correctly, Props handling, Events). Services (API calls, Data transformation). Utils (Formatters, Validators, Calculators). Stores (State changes, Actions). الهدف: 80% coverage على الأقل. تشغيل: مع كل commit (Pre-commit hook) و Pull Request.</w:t>
      </w:r>
    </w:p>
    <w:p>
      <w:pPr>
        <w:pStyle w:val="Heading2"/>
        <w:spacing w:after="150" w:before="300" w:line="340"/>
        <w:jc w:val="right"/>
      </w:pPr>
      <w:bookmarkStart w:id="100123" w:name="_Toc100123"/>
      <w:r>
        <w:rPr>
          <w:rFonts w:ascii="Cairo" w:eastAsia="Cairo"/>
          <w:b/>
          <w:bCs/>
          <w:color w:val="0a9396"/>
          <w:sz w:val="30"/>
          <w:szCs w:val="30"/>
        </w:rPr>
        <w:t xml:space="preserve">14.3 Integration Testing (اختبارات التكامل)</w:t>
      </w:r>
      <w:bookmarkEnd w:id="100123"/>
    </w:p>
    <w:p>
      <w:pPr>
        <w:spacing w:after="160" w:line="360"/>
        <w:ind w:firstLine="480"/>
        <w:jc w:val="both"/>
      </w:pPr>
      <w:r>
        <w:rPr>
          <w:rFonts w:ascii="Cairo" w:eastAsia="Cairo"/>
          <w:color w:val="1a1a2e"/>
          <w:sz w:val="24"/>
          <w:szCs w:val="24"/>
        </w:rPr>
        <w:t xml:space="preserve">النطاق: API endpoints (CRUD operations). Database queries (Sequelize models). Electron IPC communication. الأداة: Jest مع Supertest for APIs. Focus: التحقق من صحة تدفق البيانات بين الطبقات. التحقق من Business logic (Calculations, Inventory updates).</w:t>
      </w:r>
    </w:p>
    <w:p>
      <w:pPr>
        <w:pStyle w:val="Heading2"/>
        <w:spacing w:after="150" w:before="300" w:line="340"/>
        <w:jc w:val="right"/>
      </w:pPr>
      <w:bookmarkStart w:id="100124" w:name="_Toc100124"/>
      <w:r>
        <w:rPr>
          <w:rFonts w:ascii="Cairo" w:eastAsia="Cairo"/>
          <w:b/>
          <w:bCs/>
          <w:color w:val="0a9396"/>
          <w:sz w:val="30"/>
          <w:szCs w:val="30"/>
        </w:rPr>
        <w:t xml:space="preserve">14.4 E2E Testing (اختبارات نهاية إلى نهاية)</w:t>
      </w:r>
      <w:bookmarkEnd w:id="100124"/>
    </w:p>
    <w:p>
      <w:pPr>
        <w:spacing w:after="160" w:line="360"/>
        <w:ind w:firstLine="480"/>
        <w:jc w:val="both"/>
      </w:pPr>
      <w:r>
        <w:rPr>
          <w:rFonts w:ascii="Cairo" w:eastAsia="Cairo"/>
          <w:color w:val="1a1a2e"/>
          <w:sz w:val="24"/>
          <w:szCs w:val="24"/>
        </w:rPr>
        <w:t xml:space="preserve">الأداة: Playwright (يدعم Electron). السيناريوهات: تسجيل الدخول → فتح لوحة التحكم. إنشاء فاتورة مبيعات كاملة → التحقق من التحديثات. إضافة صنف جديد → التحقق من ظهوره في القائمة. طباعة فاتورة → التحقق من ملف PDF. نسخ احتياطي → استيراد → التحقق من البيانات. التشغيل: Nightly build على CI.</w:t>
      </w:r>
    </w:p>
    <w:p>
      <w:pPr>
        <w:pStyle w:val="Heading2"/>
        <w:spacing w:after="150" w:before="300" w:line="340"/>
        <w:jc w:val="right"/>
      </w:pPr>
      <w:bookmarkStart w:id="100125" w:name="_Toc100125"/>
      <w:r>
        <w:rPr>
          <w:rFonts w:ascii="Cairo" w:eastAsia="Cairo"/>
          <w:b/>
          <w:bCs/>
          <w:color w:val="0a9396"/>
          <w:sz w:val="30"/>
          <w:szCs w:val="30"/>
        </w:rPr>
        <w:t xml:space="preserve">14.5 اختبارات خاصة (Specialized Testing)</w:t>
      </w:r>
      <w:bookmarkEnd w:id="100125"/>
    </w:p>
    <w:p>
      <w:pPr>
        <w:pStyle w:val="Heading3"/>
        <w:spacing w:after="120" w:before="240" w:line="320"/>
        <w:jc w:val="right"/>
      </w:pPr>
      <w:bookmarkStart w:id="100126" w:name="_Toc100126"/>
      <w:r>
        <w:rPr>
          <w:rFonts w:ascii="Cairo" w:eastAsia="Cairo"/>
          <w:b/>
          <w:bCs/>
          <w:color w:val="1a1a2e"/>
          <w:sz w:val="26"/>
          <w:szCs w:val="26"/>
        </w:rPr>
        <w:t xml:space="preserve">14.5.1 اختبار RTL</w:t>
      </w:r>
      <w:bookmarkEnd w:id="100126"/>
    </w:p>
    <w:p>
      <w:pPr>
        <w:spacing w:after="160" w:line="360"/>
        <w:ind w:firstLine="480"/>
        <w:jc w:val="both"/>
      </w:pPr>
      <w:r>
        <w:rPr>
          <w:rFonts w:ascii="Cairo" w:eastAsia="Cairo"/>
          <w:color w:val="1a1a2e"/>
          <w:sz w:val="24"/>
          <w:szCs w:val="24"/>
        </w:rPr>
        <w:t xml:space="preserve">التحقق من: محاذاة النصوص لليمين. اتجاه Flexbox و Grid. موضع Scrollbar. ترتيب الأعمدة في الجداول. أداء Direction toggle.</w:t>
      </w:r>
    </w:p>
    <w:p>
      <w:pPr>
        <w:pStyle w:val="Heading3"/>
        <w:spacing w:after="120" w:before="240" w:line="320"/>
        <w:jc w:val="right"/>
      </w:pPr>
      <w:bookmarkStart w:id="100127" w:name="_Toc100127"/>
      <w:r>
        <w:rPr>
          <w:rFonts w:ascii="Cairo" w:eastAsia="Cairo"/>
          <w:b/>
          <w:bCs/>
          <w:color w:val="1a1a2e"/>
          <w:sz w:val="26"/>
          <w:szCs w:val="26"/>
        </w:rPr>
        <w:t xml:space="preserve">14.5.2 اختبار الإدخال العربي</w:t>
      </w:r>
      <w:bookmarkEnd w:id="100127"/>
    </w:p>
    <w:p>
      <w:pPr>
        <w:spacing w:after="160" w:line="360"/>
        <w:ind w:firstLine="480"/>
        <w:jc w:val="both"/>
      </w:pPr>
      <w:r>
        <w:rPr>
          <w:rFonts w:ascii="Cairo" w:eastAsia="Cairo"/>
          <w:color w:val="1a1a2e"/>
          <w:sz w:val="24"/>
          <w:szCs w:val="24"/>
        </w:rPr>
        <w:t xml:space="preserve">التحقق من: إدخال نص عربي في جميع الحقول. البحث بالنص العربي. الأرقام العربية-الهندية vs الإنجليزية. تنسيق التواريخ الهجرية/الميلادية.</w:t>
      </w:r>
    </w:p>
    <w:p>
      <w:pPr>
        <w:pStyle w:val="Heading3"/>
        <w:spacing w:after="120" w:before="240" w:line="320"/>
        <w:jc w:val="right"/>
      </w:pPr>
      <w:bookmarkStart w:id="100128" w:name="_Toc100128"/>
      <w:r>
        <w:rPr>
          <w:rFonts w:ascii="Cairo" w:eastAsia="Cairo"/>
          <w:b/>
          <w:bCs/>
          <w:color w:val="1a1a2e"/>
          <w:sz w:val="26"/>
          <w:szCs w:val="26"/>
        </w:rPr>
        <w:t xml:space="preserve">14.5.3 اختبار الأداء</w:t>
      </w:r>
      <w:bookmarkEnd w:id="100128"/>
    </w:p>
    <w:p>
      <w:pPr>
        <w:spacing w:after="160" w:line="360"/>
        <w:ind w:firstLine="480"/>
        <w:jc w:val="both"/>
      </w:pPr>
      <w:r>
        <w:rPr>
          <w:rFonts w:ascii="Cairo" w:eastAsia="Cairo"/>
          <w:color w:val="1a1a2e"/>
          <w:sz w:val="24"/>
          <w:szCs w:val="24"/>
        </w:rPr>
        <w:t xml:space="preserve">المقاييس: وقت بدء التطبيق (&lt; 5 ثوانٍ). استجابة UI (&lt; 1 ثانية). استهلاك RAM (&lt; 512MB). حجم قاعدة البيانات مع 100K فاتورة. Lighthouse Score (&gt; 80).</w:t>
      </w:r>
    </w:p>
    <w:p>
      <w:pPr>
        <w:pStyle w:val="Heading2"/>
        <w:spacing w:after="150" w:before="300" w:line="340"/>
        <w:jc w:val="right"/>
      </w:pPr>
      <w:bookmarkStart w:id="100129" w:name="_Toc100129"/>
      <w:r>
        <w:rPr>
          <w:rFonts w:ascii="Cairo" w:eastAsia="Cairo"/>
          <w:b/>
          <w:bCs/>
          <w:color w:val="0a9396"/>
          <w:sz w:val="30"/>
          <w:szCs w:val="30"/>
        </w:rPr>
        <w:t xml:space="preserve">14.6 قائمة تحقق الجودة (QA Checklist)</w:t>
      </w:r>
      <w:bookmarkEnd w:id="100129"/>
    </w:p>
    <w:p>
      <w:pPr>
        <w:spacing w:after="160" w:line="360"/>
        <w:ind w:firstLine="480"/>
        <w:jc w:val="both"/>
      </w:pPr>
      <w:r>
        <w:rPr>
          <w:rFonts w:ascii="Cairo" w:eastAsia="Cairo"/>
          <w:color w:val="1a1a2e"/>
          <w:sz w:val="24"/>
          <w:szCs w:val="24"/>
        </w:rPr>
        <w:t xml:space="preserve">قبل كل إصدار: جميع الاختبارات تمر (Green). لا console errors أو warnings. Lighthouse Score &gt; 80. الأداء على بيانات كبيرة مقبول. RTL يعمل بشكل صحيح. الطباعة تنتج ملف صحيح. النسخ/الاستعادة يعملان. التوثيق محدث. Changelog مُعد.</w:t>
      </w:r>
    </w:p>
    <w:p>
      <w:pPr>
        <w:pStyle w:val="Heading1"/>
        <w:spacing w:after="200" w:before="400" w:line="360"/>
        <w:jc w:val="right"/>
      </w:pPr>
      <w:bookmarkStart w:id="100130" w:name="_Toc100130"/>
      <w:r>
        <w:rPr>
          <w:rFonts w:ascii="Cairo" w:eastAsia="Cairo"/>
          <w:b/>
          <w:bCs/>
          <w:color w:val="005f73"/>
          <w:sz w:val="36"/>
          <w:szCs w:val="36"/>
        </w:rPr>
        <w:t xml:space="preserve">15. الصيانة والدعم المستقبلي (Maintenance &amp; Support Plan)</w:t>
      </w:r>
      <w:bookmarkEnd w:id="100130"/>
    </w:p>
    <w:p>
      <w:pPr>
        <w:pStyle w:val="Heading2"/>
        <w:spacing w:after="150" w:before="300" w:line="340"/>
        <w:jc w:val="right"/>
      </w:pPr>
      <w:bookmarkStart w:id="100131" w:name="_Toc100131"/>
      <w:r>
        <w:rPr>
          <w:rFonts w:ascii="Cairo" w:eastAsia="Cairo"/>
          <w:b/>
          <w:bCs/>
          <w:color w:val="0a9396"/>
          <w:sz w:val="30"/>
          <w:szCs w:val="30"/>
        </w:rPr>
        <w:t xml:space="preserve">15.1 خطة الدعم بعد الإطلاق</w:t>
      </w:r>
      <w:bookmarkEnd w:id="100131"/>
    </w:p>
    <w:p>
      <w:pPr>
        <w:spacing w:after="160" w:line="360"/>
        <w:ind w:firstLine="480"/>
        <w:jc w:val="both"/>
      </w:pPr>
      <w:r>
        <w:rPr>
          <w:rFonts w:ascii="Cairo" w:eastAsia="Cairo"/>
          <w:color w:val="1a1a2e"/>
          <w:sz w:val="24"/>
          <w:szCs w:val="24"/>
        </w:rPr>
        <w:t xml:space="preserve">يوفر المشروع ثلاثة مستويات من الدعم للمستخدمين: المستوى الأساسي (Free): توثيق شامل، منتدى مجتمعي، فيديوهات تعليمية، FAQ. المستوى الاحترافي (Premium): بريد إلكتروني مخصص، استجابة خلال 24 ساعة، تحديثات أولوية. المستوى المؤسسي (Enterprise): هاتف مباشر، استجابة خلال 4 ساعات، جلسات تدريب، تخصيصات خاصة.</w:t>
      </w:r>
    </w:p>
    <w:p>
      <w:pPr>
        <w:pStyle w:val="Heading2"/>
        <w:spacing w:after="150" w:before="300" w:line="340"/>
        <w:jc w:val="right"/>
      </w:pPr>
      <w:bookmarkStart w:id="100132" w:name="_Toc100132"/>
      <w:r>
        <w:rPr>
          <w:rFonts w:ascii="Cairo" w:eastAsia="Cairo"/>
          <w:b/>
          <w:bCs/>
          <w:color w:val="0a9396"/>
          <w:sz w:val="30"/>
          <w:szCs w:val="30"/>
        </w:rPr>
        <w:t xml:space="preserve">15.2 SLA مستويات الخدمة</w:t>
      </w:r>
      <w:bookmarkEnd w:id="100132"/>
    </w:p>
    <w:tbl>
      <w:tblPr>
        <w:tblW w:type="pct" w:w="100%"/>
        <w:tblBorders>
          <w:top w:val="single" w:color="0a9396" w:sz="1"/>
          <w:left w:val="none"/>
          <w:bottom w:val="single" w:color="0a9396" w:sz="1"/>
          <w:right w:val="none"/>
          <w:insideH w:val="single" w:color="DDDDDD" w:sz="1"/>
          <w:insideV w:val="single" w:color="DDDDDD" w:sz="1"/>
        </w:tblBorders>
      </w:tblPr>
      <w:tblGrid>
        <w:gridCol w:w="100"/>
        <w:gridCol w:w="100"/>
        <w:gridCol w:w="100"/>
        <w:gridCol w:w="100"/>
      </w:tblGrid>
      <w:tr>
        <w:trPr>
          <w:cantSplit/>
          <w:tblHeader/>
        </w:trPr>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نوع المشكلة</w:t>
            </w:r>
          </w:p>
        </w:tc>
        <w:tc>
          <w:tcPr>
            <w:tcW w:type="pct" w:w="18%"/>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الاستجابة</w:t>
            </w:r>
          </w:p>
        </w:tc>
        <w:tc>
          <w:tcPr>
            <w:tcW w:type="pct" w:w="22%"/>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الحل المتوقع</w:t>
            </w:r>
          </w:p>
        </w:tc>
        <w:tc>
          <w:tcPr>
            <w:tcW w:type="pct" w:w="30%"/>
            <w:shd w:fill="005f73" w:val="clear"/>
            <w:tcMar>
              <w:top w:type="dxa" w:w="80"/>
              <w:left w:type="dxa" w:w="120"/>
              <w:bottom w:type="dxa" w:w="80"/>
              <w:right w:type="dxa" w:w="120"/>
            </w:tcMar>
          </w:tcPr>
          <w:p>
            <w:pPr>
              <w:jc w:val="center"/>
            </w:pPr>
            <w:r>
              <w:rPr>
                <w:rFonts w:ascii="Cairo" w:eastAsia="Cairo"/>
                <w:b/>
                <w:bCs/>
                <w:color w:val="FFFFFF"/>
                <w:sz w:val="22"/>
                <w:szCs w:val="22"/>
              </w:rPr>
              <w:t xml:space="preserve">الإجراء</w:t>
            </w:r>
          </w:p>
        </w:tc>
      </w:tr>
      <w:tr>
        <w:trPr>
          <w:cantSplit/>
        </w:trPr>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Critical (التطبيق لا يعمل)</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4 ساعات</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24 ساعة</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Patch فوري</w:t>
            </w:r>
          </w:p>
        </w:tc>
      </w:tr>
      <w:tr>
        <w:trPr>
          <w:cantSplit/>
        </w:trPr>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Major (ميزة رئيسية معطلة)</w:t>
            </w:r>
          </w:p>
        </w:tc>
        <w:tc>
          <w:tcPr>
            <w:tcW w:type="pct" w:w="18%"/>
            <w:shd w:fill="f8f9fa" w:val="clear"/>
            <w:tcMar>
              <w:top w:type="dxa" w:w="60"/>
              <w:left w:type="dxa" w:w="100"/>
              <w:bottom w:type="dxa" w:w="60"/>
              <w:right w:type="dxa" w:w="100"/>
            </w:tcMar>
          </w:tcPr>
          <w:p>
            <w:pPr>
              <w:jc w:val="right"/>
            </w:pPr>
            <w:r>
              <w:rPr>
                <w:rFonts w:ascii="Cairo" w:eastAsia="Cairo"/>
                <w:color w:val="1a1a2e"/>
                <w:sz w:val="21"/>
                <w:szCs w:val="21"/>
              </w:rPr>
              <w:t xml:space="preserve">24 ساعة</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3 أيام</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Update أسبوعي</w:t>
            </w:r>
          </w:p>
        </w:tc>
      </w:tr>
      <w:tr>
        <w:trPr>
          <w:cantSplit/>
        </w:trPr>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Minor (خلل بسيط)</w:t>
            </w:r>
          </w:p>
        </w:tc>
        <w:tc>
          <w:tcPr>
            <w:tcW w:type="pct" w:w="18%"/>
            <w:shd w:fill="FFFFFF" w:val="clear"/>
            <w:tcMar>
              <w:top w:type="dxa" w:w="60"/>
              <w:left w:type="dxa" w:w="100"/>
              <w:bottom w:type="dxa" w:w="60"/>
              <w:right w:type="dxa" w:w="100"/>
            </w:tcMar>
          </w:tcPr>
          <w:p>
            <w:pPr>
              <w:jc w:val="right"/>
            </w:pPr>
            <w:r>
              <w:rPr>
                <w:rFonts w:ascii="Cairo" w:eastAsia="Cairo"/>
                <w:color w:val="1a1a2e"/>
                <w:sz w:val="21"/>
                <w:szCs w:val="21"/>
              </w:rPr>
              <w:t xml:space="preserve">3 أيام</w:t>
            </w:r>
          </w:p>
        </w:tc>
        <w:tc>
          <w:tcPr>
            <w:tcW w:type="pct" w:w="22%"/>
            <w:shd w:fill="FFFFFF" w:val="clear"/>
            <w:tcMar>
              <w:top w:type="dxa" w:w="60"/>
              <w:left w:type="dxa" w:w="100"/>
              <w:bottom w:type="dxa" w:w="60"/>
              <w:right w:type="dxa" w:w="100"/>
            </w:tcMar>
          </w:tcPr>
          <w:p>
            <w:pPr>
              <w:jc w:val="right"/>
            </w:pPr>
            <w:r>
              <w:rPr>
                <w:rFonts w:ascii="Cairo" w:eastAsia="Cairo"/>
                <w:color w:val="1a1a2e"/>
                <w:sz w:val="21"/>
                <w:szCs w:val="21"/>
              </w:rPr>
              <w:t xml:space="preserve">أسبوعين</w:t>
            </w:r>
          </w:p>
        </w:tc>
        <w:tc>
          <w:tcPr>
            <w:tcW w:type="pct" w:w="30%"/>
            <w:shd w:fill="FFFFFF" w:val="clear"/>
            <w:tcMar>
              <w:top w:type="dxa" w:w="60"/>
              <w:left w:type="dxa" w:w="100"/>
              <w:bottom w:type="dxa" w:w="60"/>
              <w:right w:type="dxa" w:w="100"/>
            </w:tcMar>
          </w:tcPr>
          <w:p>
            <w:pPr>
              <w:jc w:val="right"/>
            </w:pPr>
            <w:r>
              <w:rPr>
                <w:rFonts w:ascii="Cairo" w:eastAsia="Cairo"/>
                <w:color w:val="1a1a2e"/>
                <w:sz w:val="21"/>
                <w:szCs w:val="21"/>
              </w:rPr>
              <w:t xml:space="preserve">Release شهري</w:t>
            </w:r>
          </w:p>
        </w:tc>
      </w:tr>
      <w:tr>
        <w:trPr>
          <w:cantSplit/>
        </w:trPr>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Cosmetic (واجهة فقط)</w:t>
            </w:r>
          </w:p>
        </w:tc>
        <w:tc>
          <w:tcPr>
            <w:tcW w:type="pct" w:w="18%"/>
            <w:shd w:fill="f8f9fa" w:val="clear"/>
            <w:tcMar>
              <w:top w:type="dxa" w:w="60"/>
              <w:left w:type="dxa" w:w="100"/>
              <w:bottom w:type="dxa" w:w="60"/>
              <w:right w:type="dxa" w:w="100"/>
            </w:tcMar>
          </w:tcPr>
          <w:p>
            <w:pPr>
              <w:jc w:val="right"/>
            </w:pPr>
            <w:r>
              <w:rPr>
                <w:rFonts w:ascii="Cairo" w:eastAsia="Cairo"/>
                <w:color w:val="1a1a2e"/>
                <w:sz w:val="21"/>
                <w:szCs w:val="21"/>
              </w:rPr>
              <w:t xml:space="preserve">أسبوع</w:t>
            </w:r>
          </w:p>
        </w:tc>
        <w:tc>
          <w:tcPr>
            <w:tcW w:type="pct" w:w="22%"/>
            <w:shd w:fill="f8f9fa" w:val="clear"/>
            <w:tcMar>
              <w:top w:type="dxa" w:w="60"/>
              <w:left w:type="dxa" w:w="100"/>
              <w:bottom w:type="dxa" w:w="60"/>
              <w:right w:type="dxa" w:w="100"/>
            </w:tcMar>
          </w:tcPr>
          <w:p>
            <w:pPr>
              <w:jc w:val="right"/>
            </w:pPr>
            <w:r>
              <w:rPr>
                <w:rFonts w:ascii="Cairo" w:eastAsia="Cairo"/>
                <w:color w:val="1a1a2e"/>
                <w:sz w:val="21"/>
                <w:szCs w:val="21"/>
              </w:rPr>
              <w:t xml:space="preserve">شهر واحد</w:t>
            </w:r>
          </w:p>
        </w:tc>
        <w:tc>
          <w:tcPr>
            <w:tcW w:type="pct" w:w="30%"/>
            <w:shd w:fill="f8f9fa" w:val="clear"/>
            <w:tcMar>
              <w:top w:type="dxa" w:w="60"/>
              <w:left w:type="dxa" w:w="100"/>
              <w:bottom w:type="dxa" w:w="60"/>
              <w:right w:type="dxa" w:w="100"/>
            </w:tcMar>
          </w:tcPr>
          <w:p>
            <w:pPr>
              <w:jc w:val="right"/>
            </w:pPr>
            <w:r>
              <w:rPr>
                <w:rFonts w:ascii="Cairo" w:eastAsia="Cairo"/>
                <w:color w:val="1a1a2e"/>
                <w:sz w:val="21"/>
                <w:szCs w:val="21"/>
              </w:rPr>
              <w:t xml:space="preserve">Release ربع سنوي</w:t>
            </w:r>
          </w:p>
        </w:tc>
      </w:tr>
    </w:tbl>
    <w:p>
      <w:pPr>
        <w:pStyle w:val="Heading2"/>
        <w:spacing w:after="150" w:before="300" w:line="340"/>
        <w:jc w:val="right"/>
      </w:pPr>
      <w:bookmarkStart w:id="100133" w:name="_Toc100133"/>
      <w:r>
        <w:rPr>
          <w:rFonts w:ascii="Cairo" w:eastAsia="Cairo"/>
          <w:b/>
          <w:bCs/>
          <w:color w:val="0a9396"/>
          <w:sz w:val="30"/>
          <w:szCs w:val="30"/>
        </w:rPr>
        <w:t xml:space="preserve">15.3 جدول التحديثات (Release Schedule)</w:t>
      </w:r>
      <w:bookmarkEnd w:id="100133"/>
    </w:p>
    <w:p>
      <w:pPr>
        <w:spacing w:after="160" w:line="360"/>
        <w:ind w:firstLine="480"/>
        <w:jc w:val="both"/>
      </w:pPr>
      <w:r>
        <w:rPr>
          <w:rFonts w:ascii="Cairo" w:eastAsia="Cairo"/>
          <w:color w:val="1a1a2e"/>
          <w:sz w:val="24"/>
          <w:szCs w:val="24"/>
        </w:rPr>
        <w:t xml:space="preserve">Patch Updates (1.x.y): إصلاحات أخطاء حرجة، تحديثات أمان. Frequency: حسب الحاجة. Minor Releases (1.y.z): ميزات جديدة صغيرة، تحسينات. Frequency: شهرياً. Major Releases (x.0.0): ميزات كبيرة،重构. Frequency: ربع سنوي. Process: Beta channel لأسبوعين → Release candidate → Stable.</w:t>
      </w:r>
    </w:p>
    <w:p>
      <w:pPr>
        <w:pStyle w:val="Heading2"/>
        <w:spacing w:after="150" w:before="300" w:line="340"/>
        <w:jc w:val="right"/>
      </w:pPr>
      <w:bookmarkStart w:id="100134" w:name="_Toc100134"/>
      <w:r>
        <w:rPr>
          <w:rFonts w:ascii="Cairo" w:eastAsia="Cairo"/>
          <w:b/>
          <w:bCs/>
          <w:color w:val="0a9396"/>
          <w:sz w:val="30"/>
          <w:szCs w:val="30"/>
        </w:rPr>
        <w:t xml:space="preserve">15.4 أتمتة النسخ الاحتياطي</w:t>
      </w:r>
      <w:bookmarkEnd w:id="100134"/>
    </w:p>
    <w:p>
      <w:pPr>
        <w:spacing w:after="160" w:line="360"/>
        <w:ind w:firstLine="480"/>
        <w:jc w:val="both"/>
      </w:pPr>
      <w:r>
        <w:rPr>
          <w:rFonts w:ascii="Cairo" w:eastAsia="Cairo"/>
          <w:color w:val="1a1a2e"/>
          <w:sz w:val="24"/>
          <w:szCs w:val="24"/>
        </w:rPr>
        <w:t xml:space="preserve">يحتوي التطبيق على: نسخ تلقائي عند كل إغلاق (Backup on close). نسخ مجدول (يومي/أسبوعي) حسب إعدادات المستخدم. الاحتفاظ بآخر 7 نسخ. ضغط النسخ لتوفير المساحة. إشعار عند نجاح/فشل النسخ.</w:t>
      </w:r>
    </w:p>
    <w:p>
      <w:pPr>
        <w:pStyle w:val="Heading2"/>
        <w:spacing w:after="150" w:before="300" w:line="340"/>
        <w:jc w:val="right"/>
      </w:pPr>
      <w:bookmarkStart w:id="100135" w:name="_Toc100135"/>
      <w:r>
        <w:rPr>
          <w:rFonts w:ascii="Cairo" w:eastAsia="Cairo"/>
          <w:b/>
          <w:bCs/>
          <w:color w:val="0a9396"/>
          <w:sz w:val="30"/>
          <w:szCs w:val="30"/>
        </w:rPr>
        <w:t xml:space="preserve">15.5 خارطة الطريق المستقبلية (Roadmap)</w:t>
      </w:r>
      <w:bookmarkEnd w:id="100135"/>
    </w:p>
    <w:p>
      <w:pPr>
        <w:spacing w:after="160" w:line="360"/>
        <w:ind w:firstLine="480"/>
        <w:jc w:val="both"/>
      </w:pPr>
      <w:r>
        <w:rPr>
          <w:rFonts w:ascii="Cairo" w:eastAsia="Cairo"/>
          <w:color w:val="1a1a2e"/>
          <w:sz w:val="24"/>
          <w:szCs w:val="24"/>
        </w:rPr>
        <w:t xml:space="preserve">Q3 2026: الإطلاق الرسمي v1.0. Q4 2026: تطبيق جوال مصاحب (View-only). Q1 2027: نظام نقاط بيع POS. Q2 2027: تكامل بنكي (API). Q3 2027: دعم macOS. Q4 2027: Multi-company support. 2028+: Cloud sync option, AI-powered insights.</w:t>
      </w:r>
    </w:p>
    <w:p>
      <w:pPr>
        <w:pStyle w:val="Heading2"/>
        <w:spacing w:after="150" w:before="300" w:line="340"/>
        <w:jc w:val="right"/>
      </w:pPr>
      <w:bookmarkStart w:id="100136" w:name="_Toc100136"/>
      <w:r>
        <w:rPr>
          <w:rFonts w:ascii="Cairo" w:eastAsia="Cairo"/>
          <w:b/>
          <w:bCs/>
          <w:color w:val="0a9396"/>
          <w:sz w:val="30"/>
          <w:szCs w:val="30"/>
        </w:rPr>
        <w:t xml:space="preserve">15.6 جمع التغذية الراجعة (Feedback Collection)</w:t>
      </w:r>
      <w:bookmarkEnd w:id="100136"/>
    </w:p>
    <w:p>
      <w:pPr>
        <w:spacing w:after="160" w:line="360"/>
        <w:ind w:firstLine="480"/>
        <w:jc w:val="both"/>
      </w:pPr>
      <w:r>
        <w:rPr>
          <w:rFonts w:ascii="Cairo" w:eastAsia="Cairo"/>
          <w:color w:val="1a1a2e"/>
          <w:sz w:val="24"/>
          <w:szCs w:val="24"/>
        </w:rPr>
        <w:t xml:space="preserve">القنوات: نموذج feedback داخل التطبيق. تقييم في المتاجر (Microsoft Store). استبيان دوري via email. تحليل تذاكر الدعم. الاجتماعات مع عملاء key. التحليل: تصنيف الطلبات (Bug/Feature/Improvement). First-time response vs Resolution time. NPS score ربع سنوي.</w:t>
      </w:r>
    </w:p>
    <w:p>
      <w:pPr>
        <w:pStyle w:val="Heading1"/>
        <w:spacing w:after="200" w:before="400" w:line="360"/>
        <w:jc w:val="right"/>
      </w:pPr>
      <w:bookmarkStart w:id="100137" w:name="_Toc100137"/>
      <w:r>
        <w:rPr>
          <w:rFonts w:ascii="Cairo" w:eastAsia="Cairo"/>
          <w:b/>
          <w:bCs/>
          <w:color w:val="005f73"/>
          <w:sz w:val="36"/>
          <w:szCs w:val="36"/>
        </w:rPr>
        <w:t xml:space="preserve">16. الخلاصة والتوصيات (Conclusion &amp; Recommendations)</w:t>
      </w:r>
      <w:bookmarkEnd w:id="100137"/>
    </w:p>
    <w:p>
      <w:pPr>
        <w:pStyle w:val="Heading2"/>
        <w:spacing w:after="150" w:before="300" w:line="340"/>
        <w:jc w:val="right"/>
      </w:pPr>
      <w:bookmarkStart w:id="100138" w:name="_Toc100138"/>
      <w:r>
        <w:rPr>
          <w:rFonts w:ascii="Cairo" w:eastAsia="Cairo"/>
          <w:b/>
          <w:bCs/>
          <w:color w:val="0a9396"/>
          <w:sz w:val="30"/>
          <w:szCs w:val="30"/>
        </w:rPr>
        <w:t xml:space="preserve">16.1 ملخص المشروع</w:t>
      </w:r>
      <w:bookmarkEnd w:id="100138"/>
    </w:p>
    <w:p>
      <w:pPr>
        <w:spacing w:after="160" w:line="360"/>
        <w:ind w:firstLine="480"/>
        <w:jc w:val="both"/>
      </w:pPr>
      <w:r>
        <w:rPr>
          <w:rFonts w:ascii="Cairo" w:eastAsia="Cairo"/>
          <w:color w:val="1a1a2e"/>
          <w:sz w:val="24"/>
          <w:szCs w:val="24"/>
        </w:rPr>
        <w:t xml:space="preserve">Accounting Pro represents a significant opportunity to address the underserved Arabic SME accounting software market. The project combines modern web technologies with desktop performance to deliver a solution that is both powerful and accessible. With a clear understanding of local business needs, RTL-first design, and competitive pricing, the product is positioned to capture meaningful market share in its first year of operation.</w:t>
      </w:r>
    </w:p>
    <w:p>
      <w:pPr>
        <w:pStyle w:val="Heading2"/>
        <w:spacing w:after="150" w:before="300" w:line="340"/>
        <w:jc w:val="right"/>
      </w:pPr>
      <w:bookmarkStart w:id="100139" w:name="_Toc100139"/>
      <w:r>
        <w:rPr>
          <w:rFonts w:ascii="Cairo" w:eastAsia="Cairo"/>
          <w:b/>
          <w:bCs/>
          <w:color w:val="0a9396"/>
          <w:sz w:val="30"/>
          <w:szCs w:val="30"/>
        </w:rPr>
        <w:t xml:space="preserve">16.2 نقاط القوة الرئيسية</w:t>
      </w:r>
      <w:bookmarkEnd w:id="100139"/>
    </w:p>
    <w:p>
      <w:pPr>
        <w:pStyle w:val="ListParagraph"/>
        <w:numPr>
          <w:ilvl w:val="0"/>
          <w:numId w:val="2"/>
        </w:numPr>
        <w:spacing w:after="100" w:line="340"/>
        <w:jc w:val="right"/>
      </w:pPr>
      <w:r>
        <w:rPr>
          <w:rFonts w:ascii="Cairo" w:eastAsia="Cairo"/>
          <w:color w:val="1a1a2e"/>
          <w:sz w:val="24"/>
          <w:szCs w:val="24"/>
        </w:rPr>
        <w:t xml:space="preserve">حل محلي يفهم احتياجات السوق العربي بعمق</w:t>
      </w:r>
    </w:p>
    <w:p>
      <w:pPr>
        <w:pStyle w:val="ListParagraph"/>
        <w:numPr>
          <w:ilvl w:val="0"/>
          <w:numId w:val="2"/>
        </w:numPr>
        <w:spacing w:after="100" w:line="340"/>
        <w:jc w:val="right"/>
      </w:pPr>
      <w:r>
        <w:rPr>
          <w:rFonts w:ascii="Cairo" w:eastAsia="Cairo"/>
          <w:color w:val="1a1a2e"/>
          <w:sz w:val="24"/>
          <w:szCs w:val="24"/>
        </w:rPr>
        <w:t xml:space="preserve">تقنيات حديثة تضمن الأداء والقابلية للتوسع</w:t>
      </w:r>
    </w:p>
    <w:p>
      <w:pPr>
        <w:pStyle w:val="ListParagraph"/>
        <w:numPr>
          <w:ilvl w:val="0"/>
          <w:numId w:val="2"/>
        </w:numPr>
        <w:spacing w:after="100" w:line="340"/>
        <w:jc w:val="right"/>
      </w:pPr>
      <w:r>
        <w:rPr>
          <w:rFonts w:ascii="Cairo" w:eastAsia="Cairo"/>
          <w:color w:val="1a1a2e"/>
          <w:sz w:val="24"/>
          <w:szCs w:val="24"/>
        </w:rPr>
        <w:t xml:space="preserve">نموذج تسعير جذاب (One-time vs Subscription)</w:t>
      </w:r>
    </w:p>
    <w:p>
      <w:pPr>
        <w:pStyle w:val="ListParagraph"/>
        <w:numPr>
          <w:ilvl w:val="0"/>
          <w:numId w:val="2"/>
        </w:numPr>
        <w:spacing w:after="100" w:line="340"/>
        <w:jc w:val="right"/>
      </w:pPr>
      <w:r>
        <w:rPr>
          <w:rFonts w:ascii="Cairo" w:eastAsia="Cairo"/>
          <w:color w:val="1a1a2e"/>
          <w:sz w:val="24"/>
          <w:szCs w:val="24"/>
        </w:rPr>
        <w:t xml:space="preserve">فريق تطوير صغير وكفء يقلل التكاليف</w:t>
      </w:r>
    </w:p>
    <w:p>
      <w:pPr>
        <w:pStyle w:val="ListParagraph"/>
        <w:numPr>
          <w:ilvl w:val="0"/>
          <w:numId w:val="2"/>
        </w:numPr>
        <w:spacing w:after="100" w:line="340"/>
        <w:jc w:val="right"/>
      </w:pPr>
      <w:r>
        <w:rPr>
          <w:rFonts w:ascii="Cairo" w:eastAsia="Cairo"/>
          <w:color w:val="1a1a2e"/>
          <w:sz w:val="24"/>
          <w:szCs w:val="24"/>
        </w:rPr>
        <w:t xml:space="preserve">MVP سريع يسمح بالدخول المبكر للسوق</w:t>
      </w:r>
    </w:p>
    <w:p>
      <w:pPr>
        <w:pStyle w:val="Heading2"/>
        <w:spacing w:after="150" w:before="300" w:line="340"/>
        <w:jc w:val="right"/>
      </w:pPr>
      <w:bookmarkStart w:id="100140" w:name="_Toc100140"/>
      <w:r>
        <w:rPr>
          <w:rFonts w:ascii="Cairo" w:eastAsia="Cairo"/>
          <w:b/>
          <w:bCs/>
          <w:color w:val="0a9396"/>
          <w:sz w:val="30"/>
          <w:szCs w:val="30"/>
        </w:rPr>
        <w:t xml:space="preserve">16.3 التحديات المتوقعة</w:t>
      </w:r>
      <w:bookmarkEnd w:id="100140"/>
    </w:p>
    <w:p>
      <w:pPr>
        <w:pStyle w:val="ListParagraph"/>
        <w:numPr>
          <w:ilvl w:val="0"/>
          <w:numId w:val="2"/>
        </w:numPr>
        <w:spacing w:after="100" w:line="340"/>
        <w:jc w:val="right"/>
      </w:pPr>
      <w:r>
        <w:rPr>
          <w:rFonts w:ascii="Cairo" w:eastAsia="Cairo"/>
          <w:color w:val="1a1a2e"/>
          <w:sz w:val="24"/>
          <w:szCs w:val="24"/>
        </w:rPr>
        <w:t xml:space="preserve">منافسة من الحلول العالمية والعربية الموجودة</w:t>
      </w:r>
    </w:p>
    <w:p>
      <w:pPr>
        <w:pStyle w:val="ListParagraph"/>
        <w:numPr>
          <w:ilvl w:val="0"/>
          <w:numId w:val="2"/>
        </w:numPr>
        <w:spacing w:after="100" w:line="340"/>
        <w:jc w:val="right"/>
      </w:pPr>
      <w:r>
        <w:rPr>
          <w:rFonts w:ascii="Cairo" w:eastAsia="Cairo"/>
          <w:color w:val="1a1a2e"/>
          <w:sz w:val="24"/>
          <w:szCs w:val="24"/>
        </w:rPr>
        <w:t xml:space="preserve">بناء الثقة مع العملاء كمنتج جديد</w:t>
      </w:r>
    </w:p>
    <w:p>
      <w:pPr>
        <w:pStyle w:val="ListParagraph"/>
        <w:numPr>
          <w:ilvl w:val="0"/>
          <w:numId w:val="2"/>
        </w:numPr>
        <w:spacing w:after="100" w:line="340"/>
        <w:jc w:val="right"/>
      </w:pPr>
      <w:r>
        <w:rPr>
          <w:rFonts w:ascii="Cairo" w:eastAsia="Cairo"/>
          <w:color w:val="1a1a2e"/>
          <w:sz w:val="24"/>
          <w:szCs w:val="24"/>
        </w:rPr>
        <w:t xml:space="preserve">الحفاظ على جودة عالية مع موارد محدودة</w:t>
      </w:r>
    </w:p>
    <w:p>
      <w:pPr>
        <w:pStyle w:val="ListParagraph"/>
        <w:numPr>
          <w:ilvl w:val="0"/>
          <w:numId w:val="2"/>
        </w:numPr>
        <w:spacing w:after="100" w:line="340"/>
        <w:jc w:val="right"/>
      </w:pPr>
      <w:r>
        <w:rPr>
          <w:rFonts w:ascii="Cairo" w:eastAsia="Cairo"/>
          <w:color w:val="1a1a2e"/>
          <w:sz w:val="24"/>
          <w:szCs w:val="24"/>
        </w:rPr>
        <w:t xml:space="preserve">التكيف مع متطلبات ضريبية متغيرة</w:t>
      </w:r>
    </w:p>
    <w:p>
      <w:pPr>
        <w:pStyle w:val="Heading2"/>
        <w:spacing w:after="150" w:before="300" w:line="340"/>
        <w:jc w:val="right"/>
      </w:pPr>
      <w:bookmarkStart w:id="100141" w:name="_Toc100141"/>
      <w:r>
        <w:rPr>
          <w:rFonts w:ascii="Cairo" w:eastAsia="Cairo"/>
          <w:b/>
          <w:bCs/>
          <w:color w:val="0a9396"/>
          <w:sz w:val="30"/>
          <w:szCs w:val="30"/>
        </w:rPr>
        <w:t xml:space="preserve">16.4 التوصية (Recommendation)</w:t>
      </w:r>
      <w:bookmarkEnd w:id="100141"/>
    </w:p>
    <w:p>
      <w:pPr>
        <w:spacing w:after="160" w:line="360"/>
        <w:ind w:firstLine="480"/>
        <w:jc w:val="both"/>
      </w:pPr>
      <w:r>
        <w:rPr>
          <w:rFonts w:ascii="Cairo" w:eastAsia="Cairo"/>
          <w:color w:val="1a1a2e"/>
          <w:sz w:val="24"/>
          <w:szCs w:val="24"/>
        </w:rPr>
        <w:t xml:space="preserve">بناءً على التحليل الشامل المقدم في هذه الوثيقة، نوصي بالمضي قدماً في تنفيذ المشروع (GO Decision). العوامل الداعمة: حجم السوق الكبير والحاجة واضحة، التقنيات مجربة وموثوقة، الميزانية واقعية مع ROI إيجابي، الفريق لديه الخبرة اللازمة. الشروط: الالتزام بالجدول الزمني والميزانية المحددة، المراجعة الدورية للتقدم، المرونة في تعديل الأولويات حسب ردود الفعل.</w:t>
      </w:r>
    </w:p>
    <w:p>
      <w:pPr>
        <w:pStyle w:val="Heading2"/>
        <w:spacing w:after="150" w:before="300" w:line="340"/>
        <w:jc w:val="right"/>
      </w:pPr>
      <w:bookmarkStart w:id="100142" w:name="_Toc100142"/>
      <w:r>
        <w:rPr>
          <w:rFonts w:ascii="Cairo" w:eastAsia="Cairo"/>
          <w:b/>
          <w:bCs/>
          <w:color w:val="0a9396"/>
          <w:sz w:val="30"/>
          <w:szCs w:val="30"/>
        </w:rPr>
        <w:t xml:space="preserve">16.5 عوامل النجاح الحرجة (Critical Success Factors)</w:t>
      </w:r>
      <w:bookmarkEnd w:id="100142"/>
    </w:p>
    <w:p>
      <w:pPr>
        <w:spacing w:after="160" w:line="360"/>
        <w:ind w:firstLine="480"/>
        <w:jc w:val="both"/>
      </w:pPr>
      <w:r>
        <w:rPr>
          <w:rFonts w:ascii="Cairo" w:eastAsia="Cairo"/>
          <w:color w:val="1a1a2e"/>
          <w:sz w:val="24"/>
          <w:szCs w:val="24"/>
        </w:rPr>
        <w:t xml:space="preserve">1. التركيز على تجربة المستخدم العربي كميزة تنافسية أساسية. 2. الإطلاق السريع لـ MVP ثم التحسين التدريجي. 3. بناء مجتمع مستخدمين مبكراً كمحامين للمنتج. 4. الاستماع لتغذية المستخدمين الراجعة والاستجابة السريعة. 5. الحفاظ على جودة الكود لتسهيل الصيانة المستقبلية.</w:t>
      </w:r>
    </w:p>
    <w:p>
      <w:pPr>
        <w:pStyle w:val="Heading2"/>
        <w:spacing w:after="150" w:before="300" w:line="340"/>
        <w:jc w:val="right"/>
      </w:pPr>
      <w:bookmarkStart w:id="100143" w:name="_Toc100143"/>
      <w:r>
        <w:rPr>
          <w:rFonts w:ascii="Cairo" w:eastAsia="Cairo"/>
          <w:b/>
          <w:bCs/>
          <w:color w:val="0a9396"/>
          <w:sz w:val="30"/>
          <w:szCs w:val="30"/>
        </w:rPr>
        <w:t xml:space="preserve">16.6 الخطوات التالية (Next Steps)</w:t>
      </w:r>
      <w:bookmarkEnd w:id="100143"/>
    </w:p>
    <w:p>
      <w:pPr>
        <w:spacing w:after="160" w:line="360"/>
        <w:ind w:firstLine="480"/>
        <w:jc w:val="both"/>
      </w:pPr>
      <w:r>
        <w:rPr>
          <w:rFonts w:ascii="Cairo" w:eastAsia="Cairo"/>
          <w:color w:val="1a1a2e"/>
          <w:sz w:val="24"/>
          <w:szCs w:val="24"/>
        </w:rPr>
        <w:t xml:space="preserve">1. الموافقة على الميزانية والجدول الزمني من أصحاب المصلحة. 2. توظيف فريق التطوير (أو تخصيص الموارد الداخلية). 3. إعداد بيئة التطوير والأدوات. 4. Kick-off Meeting مع الفريق. 5. بدء المرحلة الأولى: البنية التحتية. 6. أسبوعي Status Meetings لمراقبة التقدم.</w:t>
      </w:r>
    </w:p>
    <w:p>
      <w:pPr>
        <w:pStyle w:val="Heading2"/>
        <w:spacing w:after="150" w:before="300" w:line="340"/>
        <w:jc w:val="right"/>
      </w:pPr>
      <w:bookmarkStart w:id="100144" w:name="_Toc100144"/>
      <w:r>
        <w:rPr>
          <w:rFonts w:ascii="Cairo" w:eastAsia="Cairo"/>
          <w:b/>
          <w:bCs/>
          <w:color w:val="0a9396"/>
          <w:sz w:val="30"/>
          <w:szCs w:val="30"/>
        </w:rPr>
        <w:t xml:space="preserve">16.7 معلومات التواصل</w:t>
      </w:r>
      <w:bookmarkEnd w:id="100144"/>
    </w:p>
    <w:p>
      <w:pPr>
        <w:spacing w:after="160" w:line="360"/>
        <w:ind w:firstLine="480"/>
        <w:jc w:val="both"/>
      </w:pPr>
      <w:r>
        <w:rPr>
          <w:rFonts w:ascii="Cairo" w:eastAsia="Cairo"/>
          <w:color w:val="1a1a2e"/>
          <w:sz w:val="24"/>
          <w:szCs w:val="24"/>
        </w:rPr>
        <w:t xml:space="preserve">للاستفسارات حول هذا المشروع أو تقديم المقترحات، يرجى التواصل مع فريق إدارة المشروع. نحن منفتحون للشراكات والاستثمارات التي تدعم رؤيتنا في تقديم أفضل حل محاسبي عربي للشركات الصغيرة والمتوسطة.</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iro" w:eastAsia="Cairo"/>
        <w:color w:val="6c757d"/>
        <w:sz w:val="18"/>
        <w:szCs w:val="18"/>
      </w:rPr>
      <w:t xml:space="preserve">Accounting Pro - وثيقة بناء المشروع التقنية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eastAsia="Cairo"/>
        <w:color w:val="1a1a2e"/>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60"/>
      <w:outlineLvl w:val="0"/>
    </w:pPr>
    <w:rPr>
      <w:rFonts w:ascii="Cairo" w:eastAsia="Cairo"/>
      <w:b/>
      <w:bCs/>
      <w:color w:val="005f73"/>
      <w:sz w:val="36"/>
      <w:szCs w:val="36"/>
    </w:rPr>
  </w:style>
  <w:style w:type="paragraph" w:styleId="Heading2">
    <w:name w:val="Heading 2"/>
    <w:basedOn w:val="Normal"/>
    <w:next w:val="Normal"/>
    <w:qFormat/>
    <w:pPr>
      <w:spacing w:after="150" w:before="300" w:line="340"/>
      <w:outlineLvl w:val="1"/>
    </w:pPr>
    <w:rPr>
      <w:rFonts w:ascii="Cairo" w:eastAsia="Cairo"/>
      <w:b/>
      <w:bCs/>
      <w:color w:val="0a9396"/>
      <w:sz w:val="30"/>
      <w:szCs w:val="30"/>
    </w:rPr>
  </w:style>
  <w:style w:type="paragraph" w:styleId="Heading3">
    <w:name w:val="Heading 3"/>
    <w:basedOn w:val="Normal"/>
    <w:next w:val="Normal"/>
    <w:qFormat/>
    <w:pPr>
      <w:spacing w:after="120" w:before="240" w:line="320"/>
      <w:outlineLvl w:val="2"/>
    </w:pPr>
    <w:rPr>
      <w:rFonts w:ascii="Cairo" w:eastAsia="Cairo"/>
      <w:b/>
      <w:bCs/>
      <w:color w:val="1a1a2e"/>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2026-08-16T09:25:29.353Z</dcterms:created>
  <dcterms:modified xsi:type="dcterms:W3CDTF">2026-08-16T09:25:29.353Z</dcterms:modified>
</cp:coreProperties>
</file>

<file path=docProps/custom.xml><?xml version="1.0" encoding="utf-8"?>
<Properties xmlns="http://schemas.openxmlformats.org/officeDocument/2006/custom-properties" xmlns:vt="http://schemas.openxmlformats.org/officeDocument/2006/docPropsVTypes"/>
</file>