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3D2694A5" w:rsidR="00BD77EE" w:rsidRPr="00730491" w:rsidRDefault="00E008ED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 w:rsidR="00901BB3"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E008ED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0F3150B5" w:rsidR="00E008ED" w:rsidRPr="00730491" w:rsidRDefault="00E008ED" w:rsidP="00E008E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Lec </w:t>
            </w:r>
            <w:r w:rsidR="003A3D4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  <w:vAlign w:val="center"/>
          </w:tcPr>
          <w:p w14:paraId="781C986B" w14:textId="5C52A8BF" w:rsidR="00E008ED" w:rsidRPr="00DB4809" w:rsidRDefault="00E008ED" w:rsidP="00E008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Week </w:t>
            </w:r>
            <w:r w:rsidR="003A3D49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3553" w:type="dxa"/>
            <w:vAlign w:val="center"/>
          </w:tcPr>
          <w:p w14:paraId="0998E2AA" w14:textId="6453AA98" w:rsidR="00E008ED" w:rsidRPr="007448CD" w:rsidRDefault="00E008ED" w:rsidP="00E008ED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Combinational Logic</w:t>
            </w:r>
            <w:r w:rsidR="003A3D49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II</w:t>
            </w:r>
          </w:p>
        </w:tc>
        <w:tc>
          <w:tcPr>
            <w:tcW w:w="2409" w:type="dxa"/>
            <w:vAlign w:val="center"/>
          </w:tcPr>
          <w:p w14:paraId="0A76B505" w14:textId="5DB0BB98" w:rsidR="00E008ED" w:rsidRDefault="00E008ED" w:rsidP="00E008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March </w:t>
            </w:r>
            <w:r w:rsidR="003A3D49">
              <w:rPr>
                <w:rFonts w:eastAsia="Times New Roman" w:cs="Times New Roman"/>
                <w:sz w:val="20"/>
                <w:szCs w:val="20"/>
                <w:highlight w:val="yellow"/>
              </w:rPr>
              <w:t>16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070B44EE" w14:textId="77777777" w:rsidR="00E008ED" w:rsidRPr="00F86393" w:rsidRDefault="00E008ED" w:rsidP="00E008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</w:hyperlink>
          </w:p>
          <w:p w14:paraId="493C4164" w14:textId="56601635" w:rsidR="00E008ED" w:rsidRPr="00730491" w:rsidRDefault="00E008ED" w:rsidP="00E008E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054" w:type="dxa"/>
            <w:vAlign w:val="center"/>
          </w:tcPr>
          <w:p w14:paraId="27A5648F" w14:textId="3B722EBF" w:rsidR="00E008ED" w:rsidRPr="00730491" w:rsidRDefault="00E008ED" w:rsidP="00E008E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 w:rsidR="003A3D49">
              <w:rPr>
                <w:rFonts w:cs="Times New Roman"/>
                <w:sz w:val="20"/>
                <w:szCs w:val="20"/>
              </w:rPr>
              <w:t>22</w:t>
            </w:r>
            <w:r w:rsidRPr="00182F65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393C1382" w:rsidR="009125ED" w:rsidRPr="00730491" w:rsidRDefault="006F4E77" w:rsidP="00110C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 w:rsidR="00110CED" w:rsidRPr="00110CED">
        <w:rPr>
          <w:rFonts w:cs="Times New Roman"/>
          <w:color w:val="000000"/>
          <w:highlight w:val="yellow"/>
        </w:rPr>
        <w:t>two of the below questions based on your preference</w:t>
      </w:r>
      <w:r w:rsidR="00110CED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</w:t>
      </w:r>
      <w:r w:rsidR="003A3D49">
        <w:rPr>
          <w:rFonts w:ascii="Courier New" w:hAnsi="Courier New" w:cs="Courier New"/>
          <w:color w:val="000000"/>
          <w:sz w:val="20"/>
          <w:szCs w:val="20"/>
          <w:highlight w:val="yellow"/>
        </w:rPr>
        <w:t>10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UWinID,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5C11FDA2" w:rsidR="009125ED" w:rsidRPr="00DF4165" w:rsidRDefault="009125ED" w:rsidP="00110CED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UWinID,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="003A3D49"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75A98C27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7447D">
        <w:rPr>
          <w:rFonts w:cs="Times New Roman"/>
          <w:b/>
          <w:bCs/>
          <w:highlight w:val="yellow"/>
        </w:rPr>
        <w:t>(Select Only 2 Questions based on your preference)</w:t>
      </w:r>
    </w:p>
    <w:p w14:paraId="04729CFF" w14:textId="4F1076FF" w:rsidR="003A3D49" w:rsidRPr="003A3D49" w:rsidRDefault="003A3D49" w:rsidP="003A3D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i/>
          <w:iCs/>
        </w:rPr>
      </w:pPr>
      <w:r w:rsidRPr="003A3D49">
        <w:rPr>
          <w:rFonts w:cs="Times New Roman"/>
          <w:b/>
          <w:bCs/>
          <w:i/>
          <w:iCs/>
        </w:rPr>
        <w:t xml:space="preserve">Note: the following questions </w:t>
      </w:r>
      <w:r w:rsidR="003649CC">
        <w:rPr>
          <w:rFonts w:cs="Times New Roman"/>
          <w:b/>
          <w:bCs/>
          <w:i/>
          <w:iCs/>
        </w:rPr>
        <w:t xml:space="preserve">are those </w:t>
      </w:r>
      <w:r w:rsidRPr="003A3D49">
        <w:rPr>
          <w:rFonts w:cs="Times New Roman"/>
          <w:b/>
          <w:bCs/>
          <w:i/>
          <w:iCs/>
        </w:rPr>
        <w:t xml:space="preserve">from </w:t>
      </w:r>
      <w:r w:rsidR="00494030">
        <w:rPr>
          <w:rFonts w:cs="Times New Roman"/>
          <w:b/>
          <w:bCs/>
          <w:i/>
          <w:iCs/>
        </w:rPr>
        <w:t xml:space="preserve">the </w:t>
      </w:r>
      <w:r w:rsidRPr="003A3D49">
        <w:rPr>
          <w:rFonts w:cs="Times New Roman"/>
          <w:b/>
          <w:bCs/>
          <w:i/>
          <w:iCs/>
        </w:rPr>
        <w:t xml:space="preserve">previous lecture assignment (Lec09) </w:t>
      </w:r>
      <w:r w:rsidR="005734BA">
        <w:rPr>
          <w:rFonts w:cs="Times New Roman"/>
          <w:b/>
          <w:bCs/>
          <w:i/>
          <w:iCs/>
        </w:rPr>
        <w:t xml:space="preserve">whose </w:t>
      </w:r>
      <w:r w:rsidRPr="003A3D49">
        <w:rPr>
          <w:rFonts w:cs="Times New Roman"/>
          <w:b/>
          <w:bCs/>
          <w:i/>
          <w:iCs/>
        </w:rPr>
        <w:t>topics were not covered</w:t>
      </w:r>
      <w:r w:rsidR="003649CC">
        <w:rPr>
          <w:rFonts w:cs="Times New Roman"/>
          <w:b/>
          <w:bCs/>
          <w:i/>
          <w:iCs/>
        </w:rPr>
        <w:t>. W</w:t>
      </w:r>
      <w:r w:rsidRPr="003A3D49">
        <w:rPr>
          <w:rFonts w:cs="Times New Roman"/>
          <w:b/>
          <w:bCs/>
          <w:i/>
          <w:iCs/>
        </w:rPr>
        <w:t>e cover the topics this week.</w:t>
      </w:r>
    </w:p>
    <w:p w14:paraId="53090C40" w14:textId="793D98DB" w:rsidR="00661BBA" w:rsidRPr="00661BBA" w:rsidRDefault="00450DC8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half-subtractor circuit with inputs </w:t>
      </w:r>
      <w:r w:rsidRPr="00661BBA">
        <w:rPr>
          <w:rFonts w:eastAsia="TimesTenLTStd-Italic" w:cs="TimesTenLTStd-Italic"/>
          <w:i/>
          <w:iCs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and </w:t>
      </w:r>
      <w:r w:rsidRPr="00661BBA">
        <w:rPr>
          <w:rFonts w:eastAsia="TimesTenLTStd-Italic" w:cs="TimesTenLTStd-Italic"/>
          <w:i/>
          <w:iCs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and outputs </w:t>
      </w:r>
      <w:r w:rsidRPr="00661BBA">
        <w:rPr>
          <w:rFonts w:eastAsia="TimesTenLTStd-Italic" w:cs="TimesTenLTStd-Italic"/>
          <w:lang w:val="en-CA"/>
        </w:rPr>
        <w:t>D</w:t>
      </w:r>
      <w:r w:rsidR="00661BBA">
        <w:rPr>
          <w:rFonts w:eastAsia="TimesTenLTStd-Italic" w:cs="TimesTenLTStd-Italic"/>
          <w:lang w:val="en-CA"/>
        </w:rPr>
        <w:t xml:space="preserve"> (D</w:t>
      </w:r>
      <w:r w:rsidRPr="00661BBA">
        <w:rPr>
          <w:rFonts w:eastAsia="TimesTenLTStd-Italic" w:cs="TimesTenLTStd-Italic"/>
          <w:lang w:val="en-CA"/>
        </w:rPr>
        <w:t>iff</w:t>
      </w:r>
      <w:r w:rsidR="00661BBA">
        <w:rPr>
          <w:rFonts w:eastAsia="TimesTenLTStd-Italic" w:cs="TimesTenLTStd-Italic"/>
          <w:lang w:val="en-CA"/>
        </w:rPr>
        <w:t>erence)</w:t>
      </w:r>
      <w:r w:rsidRPr="00661BBA">
        <w:rPr>
          <w:rFonts w:eastAsia="TimesTenLTStd-Italic" w:cs="TimesTenLTStd-Italic"/>
          <w:i/>
          <w:iCs/>
          <w:lang w:val="en-CA"/>
        </w:rPr>
        <w:t xml:space="preserve"> </w:t>
      </w:r>
      <w:r w:rsidRPr="00661BBA">
        <w:rPr>
          <w:rFonts w:cs="TimesTenLTStd-Roman"/>
          <w:lang w:val="en-CA"/>
        </w:rPr>
        <w:t>and 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="00661BBA">
        <w:rPr>
          <w:rFonts w:eastAsia="TimesTenLTStd-Italic" w:cs="TimesTenLTStd-Italic"/>
          <w:lang w:val="en-CA"/>
        </w:rPr>
        <w:t>(Output Borrow)</w:t>
      </w:r>
      <w:r w:rsidRPr="00661BBA">
        <w:rPr>
          <w:rFonts w:cs="TimesTenLTStd-Roman"/>
          <w:lang w:val="en-CA"/>
        </w:rPr>
        <w:t>. The circuit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subtracts the bits </w:t>
      </w:r>
      <w:r w:rsidRPr="00661BBA">
        <w:rPr>
          <w:rFonts w:eastAsia="TimesTenLTStd-Italic" w:cs="TimesTenLTStd-Italic"/>
          <w:lang w:val="en-CA"/>
        </w:rPr>
        <w:t xml:space="preserve">x – y </w:t>
      </w:r>
      <w:r w:rsidRPr="00661BBA">
        <w:rPr>
          <w:rFonts w:cs="TimesTenLTStd-Roman"/>
          <w:lang w:val="en-CA"/>
        </w:rPr>
        <w:t xml:space="preserve">and places the difference in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 xml:space="preserve">and the borrow in </w:t>
      </w:r>
      <w:r w:rsidRPr="00661BBA">
        <w:rPr>
          <w:rFonts w:eastAsia="TimesTenLTStd-Italic" w:cs="TimesTenLTStd-Italic"/>
          <w:lang w:val="en-CA"/>
        </w:rPr>
        <w:t>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>.</w:t>
      </w:r>
      <w:r w:rsidR="00661BBA" w:rsidRPr="00661BBA">
        <w:rPr>
          <w:rFonts w:cs="TimesTenLTStd-Roman"/>
          <w:lang w:val="en-CA"/>
        </w:rPr>
        <w:t xml:space="preserve"> </w:t>
      </w:r>
    </w:p>
    <w:p w14:paraId="583C2D11" w14:textId="77777777" w:rsidR="00661BBA" w:rsidRPr="00661BBA" w:rsidRDefault="00661BBA" w:rsidP="00661BBA">
      <w:pPr>
        <w:pStyle w:val="ListParagraph"/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</w:p>
    <w:p w14:paraId="0BB9E9FA" w14:textId="633A7F18" w:rsidR="00450DC8" w:rsidRPr="000B1B3B" w:rsidRDefault="00450DC8" w:rsidP="00144FE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full-subtractor </w:t>
      </w:r>
      <w:r w:rsidR="00E615B3">
        <w:rPr>
          <w:rFonts w:cs="TimesTenLTStd-Roman"/>
          <w:lang w:val="en-CA"/>
        </w:rPr>
        <w:t xml:space="preserve">(1-bit subtractor) </w:t>
      </w:r>
      <w:r w:rsidRPr="00661BBA">
        <w:rPr>
          <w:rFonts w:cs="TimesTenLTStd-Roman"/>
          <w:lang w:val="en-CA"/>
        </w:rPr>
        <w:t xml:space="preserve">circuit with three inputs </w:t>
      </w:r>
      <w:r w:rsidRPr="00661BBA">
        <w:rPr>
          <w:rFonts w:eastAsia="TimesTenLTStd-Italic" w:cs="TimesTenLTStd-Italic"/>
          <w:lang w:val="en-CA"/>
        </w:rPr>
        <w:t>x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y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B</w:t>
      </w:r>
      <w:r w:rsidR="00661BBA" w:rsidRPr="00661BBA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 xml:space="preserve">and two outputs </w:t>
      </w:r>
      <w:r w:rsidR="00144FEE">
        <w:rPr>
          <w:rFonts w:eastAsia="TimesTenLTStd-Italic" w:cs="TimesTenLTStd-Italic"/>
          <w:lang w:val="en-CA"/>
        </w:rPr>
        <w:t>D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and</w:t>
      </w:r>
      <w:r w:rsidR="00661BBA" w:rsidRPr="00661BBA">
        <w:rPr>
          <w:rFonts w:cs="TimesTenLTStd-Roman"/>
          <w:lang w:val="en-CA"/>
        </w:rPr>
        <w:t xml:space="preserve"> </w:t>
      </w:r>
      <w:r w:rsidR="00144FEE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 xml:space="preserve">. The circuit subtracts </w:t>
      </w:r>
      <w:r w:rsidRPr="00661BBA">
        <w:rPr>
          <w:rFonts w:eastAsia="TimesTenLTStd-Italic" w:cs="TimesTenLTStd-Italic"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cs="TimesTenLTStd-Roman"/>
          <w:lang w:val="en-CA"/>
        </w:rPr>
        <w:t xml:space="preserve">, where </w:t>
      </w:r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>is the input borrow</w:t>
      </w:r>
      <w:r w:rsidR="00E17150">
        <w:rPr>
          <w:rFonts w:cs="TimesTenLTStd-Roman"/>
          <w:lang w:val="en-CA"/>
        </w:rPr>
        <w:t xml:space="preserve"> from previous subtraction</w:t>
      </w:r>
      <w:r w:rsidRPr="00661BBA">
        <w:rPr>
          <w:rFonts w:cs="TimesTenLTStd-Roman"/>
          <w:lang w:val="en-CA"/>
        </w:rPr>
        <w:t xml:space="preserve">, </w:t>
      </w:r>
      <w:r w:rsidR="00144FEE">
        <w:rPr>
          <w:rFonts w:eastAsia="TimesTenLTStd-Italic" w:cs="TimesTenLTStd-Italic"/>
          <w:lang w:val="en-CA"/>
        </w:rPr>
        <w:t>B</w:t>
      </w:r>
      <w:r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is the output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borrow, and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>is the difference.</w:t>
      </w:r>
    </w:p>
    <w:p w14:paraId="6F352B85" w14:textId="77777777" w:rsidR="000B1B3B" w:rsidRPr="000B1B3B" w:rsidRDefault="000B1B3B" w:rsidP="000B1B3B">
      <w:pPr>
        <w:pStyle w:val="ListParagraph"/>
        <w:rPr>
          <w:rFonts w:cs="Calibri"/>
        </w:rPr>
      </w:pPr>
    </w:p>
    <w:p w14:paraId="65C52B6A" w14:textId="77777777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0B1B3B">
        <w:rPr>
          <w:rFonts w:cs="TimesTenLTStd-Roman"/>
          <w:lang w:val="en-CA"/>
        </w:rPr>
        <w:t>Assume that the exclusive-OR gate has a propagation delay of 10 ns and that the AND or</w:t>
      </w:r>
      <w:r w:rsidR="000B1B3B" w:rsidRPr="000B1B3B">
        <w:rPr>
          <w:rFonts w:cs="TimesTenLTStd-Roman"/>
          <w:lang w:val="en-CA"/>
        </w:rPr>
        <w:t xml:space="preserve"> </w:t>
      </w:r>
      <w:r w:rsidRPr="000B1B3B">
        <w:rPr>
          <w:rFonts w:cs="TimesTenLTStd-Roman"/>
          <w:lang w:val="en-CA"/>
        </w:rPr>
        <w:t>OR gates have a propagation delay of 5 ns. What is the total propagation delay time in the</w:t>
      </w:r>
      <w:r w:rsidR="000B1B3B">
        <w:rPr>
          <w:rFonts w:cs="TimesTenLTStd-Roman"/>
          <w:lang w:val="en-CA"/>
        </w:rPr>
        <w:t xml:space="preserve"> 4</w:t>
      </w:r>
      <w:r w:rsidRPr="000B1B3B">
        <w:rPr>
          <w:rFonts w:cs="TimesTenLTStd-Roman"/>
          <w:lang w:val="en-CA"/>
        </w:rPr>
        <w:t>-bit adder</w:t>
      </w:r>
      <w:r w:rsidR="00390024">
        <w:rPr>
          <w:rFonts w:cs="TimesTenLTStd-Roman"/>
          <w:lang w:val="en-CA"/>
        </w:rPr>
        <w:t xml:space="preserve"> without carry lookahead circuit</w:t>
      </w:r>
      <w:r w:rsidRPr="000B1B3B">
        <w:rPr>
          <w:rFonts w:cs="TimesTenLTStd-Roman"/>
          <w:lang w:val="en-CA"/>
        </w:rPr>
        <w:t>?</w:t>
      </w:r>
    </w:p>
    <w:p w14:paraId="254C79AA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477DDE19" w14:textId="77777777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Design a combinational circuit that compares two 4-bit numbers to check if they are equal.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The circuit output is equal to 1 if the two numbers are equal and 0 otherwise.</w:t>
      </w:r>
    </w:p>
    <w:p w14:paraId="4D443B43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597B2F91" w14:textId="57CCE749" w:rsidR="00450DC8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lastRenderedPageBreak/>
        <w:t>Draw the logic diagram of a 2-to-4-line decoder using (a) NOR gates only and (b) NAND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gates only. Include an enable input.</w:t>
      </w:r>
    </w:p>
    <w:p w14:paraId="3FEEB867" w14:textId="77777777" w:rsidR="00390024" w:rsidRPr="00390024" w:rsidRDefault="00390024" w:rsidP="00390024">
      <w:pPr>
        <w:pStyle w:val="ListParagraph"/>
        <w:rPr>
          <w:rFonts w:cs="Calibri"/>
        </w:rPr>
      </w:pPr>
    </w:p>
    <w:p w14:paraId="2A38DA44" w14:textId="0DB2A507" w:rsidR="00450DC8" w:rsidRPr="00390024" w:rsidRDefault="00450DC8" w:rsidP="00F04F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Construct a 5-to-32-line decoder with four 3-to-8-line decoders with enable and a 2-to-4-line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decoder. Use block diagrams for the components.</w:t>
      </w:r>
    </w:p>
    <w:p w14:paraId="12FFE592" w14:textId="77777777" w:rsidR="00390024" w:rsidRPr="00390024" w:rsidRDefault="00390024" w:rsidP="00390024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2F50AEA4" w14:textId="77777777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450DC8">
        <w:rPr>
          <w:rFonts w:cs="TimesTenLTStd-Roman"/>
          <w:lang w:val="en-CA"/>
        </w:rPr>
        <w:t>Construct a 4-to-16-line decoder with five 2-to-4-line decoders with enable.</w:t>
      </w:r>
    </w:p>
    <w:p w14:paraId="351398B2" w14:textId="77777777" w:rsidR="005605E6" w:rsidRPr="005605E6" w:rsidRDefault="005605E6" w:rsidP="005605E6">
      <w:pPr>
        <w:pStyle w:val="ListParagraph"/>
        <w:rPr>
          <w:rFonts w:cs="TimesTenLTStd-Roman"/>
          <w:lang w:val="en-CA"/>
        </w:rPr>
      </w:pPr>
    </w:p>
    <w:p w14:paraId="1C7BFDA5" w14:textId="334C7F1A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>A combinational circuit is specified by the following three Boolean functions</w:t>
      </w:r>
      <w:r w:rsidR="005605E6">
        <w:rPr>
          <w:rFonts w:cs="TimesTenLTStd-Roman"/>
          <w:lang w:val="en-CA"/>
        </w:rPr>
        <w:t xml:space="preserve"> using one decoder</w:t>
      </w:r>
      <w:r w:rsidRPr="005605E6">
        <w:rPr>
          <w:rFonts w:cs="TimesTenLTStd-Roman"/>
          <w:lang w:val="en-CA"/>
        </w:rPr>
        <w:t>:</w:t>
      </w:r>
    </w:p>
    <w:p w14:paraId="53955F73" w14:textId="77777777" w:rsidR="005605E6" w:rsidRPr="005605E6" w:rsidRDefault="005605E6" w:rsidP="005605E6">
      <w:pPr>
        <w:pStyle w:val="ListParagraph"/>
        <w:rPr>
          <w:rFonts w:eastAsia="TimesTenLTStd-Italic" w:cs="TimesTenLTStd-Italic"/>
          <w:lang w:val="en-CA"/>
        </w:rPr>
      </w:pPr>
    </w:p>
    <w:p w14:paraId="75FC0DB9" w14:textId="1FD37553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="00C014E9">
        <w:rPr>
          <w:rFonts w:cs="TimesTenLTStd-Roman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MathematicalPi-One"/>
          <w:lang w:val="en-CA"/>
        </w:rPr>
        <w:t>∑(</w:t>
      </w:r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 xml:space="preserve">1, 4, </w:t>
      </w:r>
      <w:r w:rsidR="00C014E9">
        <w:rPr>
          <w:rFonts w:cs="TimesTenLTStd-Roman"/>
          <w:lang w:val="en-CA"/>
        </w:rPr>
        <w:t>6</w:t>
      </w:r>
      <w:r w:rsidR="00C014E9">
        <w:rPr>
          <w:rFonts w:cs="PearsonMATH18"/>
          <w:lang w:val="en-CA"/>
        </w:rPr>
        <w:t>)</w:t>
      </w:r>
    </w:p>
    <w:p w14:paraId="120D8FC5" w14:textId="2FA75369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MathematicalPi-One"/>
          <w:lang w:val="en-CA"/>
        </w:rPr>
        <w:t>∑(</w:t>
      </w:r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>3, 5</w:t>
      </w:r>
      <w:r w:rsidR="00C014E9">
        <w:rPr>
          <w:rFonts w:cs="PearsonMATH18"/>
          <w:lang w:val="en-CA"/>
        </w:rPr>
        <w:t>)</w:t>
      </w:r>
    </w:p>
    <w:p w14:paraId="5B182D00" w14:textId="719B0978" w:rsidR="00450DC8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MathematicalPi-One"/>
          <w:lang w:val="en-CA"/>
        </w:rPr>
        <w:t>∑(</w:t>
      </w:r>
      <w:r w:rsidRPr="005605E6">
        <w:rPr>
          <w:rFonts w:cs="PearsonMATH18"/>
          <w:lang w:val="en-CA"/>
        </w:rPr>
        <w:t>1</w:t>
      </w:r>
      <w:r w:rsidRPr="005605E6">
        <w:rPr>
          <w:rFonts w:cs="TimesTenLTStd-Roman"/>
          <w:lang w:val="en-CA"/>
        </w:rPr>
        <w:t>2, 4, 6, 7</w:t>
      </w:r>
      <w:r w:rsidR="00C014E9">
        <w:rPr>
          <w:rFonts w:cs="PearsonMATH18"/>
          <w:lang w:val="en-CA"/>
        </w:rPr>
        <w:t>)</w:t>
      </w:r>
    </w:p>
    <w:p w14:paraId="46E956EA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</w:p>
    <w:p w14:paraId="72A464EC" w14:textId="403CE37B" w:rsidR="005605E6" w:rsidRDefault="00450DC8" w:rsidP="005605E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cs="TimesTenLTStd-Roman"/>
          <w:lang w:val="en-CA"/>
        </w:rPr>
        <w:t>Using a decoder and external gates, design the combinational circui</w:t>
      </w:r>
      <w:r w:rsidR="004C4FF8">
        <w:rPr>
          <w:rFonts w:cs="TimesTenLTStd-Roman"/>
          <w:lang w:val="en-CA"/>
        </w:rPr>
        <w:t>t</w:t>
      </w:r>
      <w:r w:rsidRPr="005605E6">
        <w:rPr>
          <w:rFonts w:cs="TimesTenLTStd-Roman"/>
          <w:lang w:val="en-CA"/>
        </w:rPr>
        <w:t xml:space="preserve"> defined by the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>following three Boolean functions:</w:t>
      </w:r>
    </w:p>
    <w:p w14:paraId="6A47CB03" w14:textId="4895C777" w:rsidR="00C014E9" w:rsidRPr="00C014E9" w:rsidRDefault="00450DC8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yz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 xml:space="preserve">xz </w:t>
      </w:r>
    </w:p>
    <w:p w14:paraId="1055A2A9" w14:textId="14785996" w:rsidR="00C014E9" w:rsidRPr="00C014E9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Pr="005605E6">
        <w:rPr>
          <w:rFonts w:eastAsia="TimesTenLTStd-Italic" w:cs="TimesTenLTStd-Italic"/>
          <w:lang w:val="en-CA"/>
        </w:rPr>
        <w:t>xy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r w:rsidR="00C014E9"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 xml:space="preserve">y </w:t>
      </w:r>
    </w:p>
    <w:p w14:paraId="5EE3F5C8" w14:textId="698660D5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Pr="005605E6">
        <w:rPr>
          <w:rFonts w:eastAsia="TimesTenLTStd-Italic" w:cs="TimesTenLTStd-Italic"/>
          <w:lang w:val="en-CA"/>
        </w:rPr>
        <w:t>x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xy</w:t>
      </w:r>
    </w:p>
    <w:p w14:paraId="34D1B144" w14:textId="77777777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6AD0BB8B" w14:textId="54E433DC" w:rsidR="00C014E9" w:rsidRPr="005605E6" w:rsidRDefault="00C014E9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</w:t>
      </w:r>
      <w:r>
        <w:rPr>
          <w:rFonts w:eastAsia="TimesTenLTStd-Italic" w:cs="TimesTenLTStd-Italic"/>
          <w:lang w:val="en-CA"/>
        </w:rPr>
        <w:t xml:space="preserve">) </w:t>
      </w:r>
      <w:r w:rsidRPr="005605E6">
        <w:rPr>
          <w:rFonts w:eastAsia="TimesTenLTStd-Italic" w:cs="TimesTenLTStd-Italic"/>
          <w:lang w:val="en-CA"/>
        </w:rPr>
        <w:t>z</w:t>
      </w:r>
    </w:p>
    <w:p w14:paraId="0733FD75" w14:textId="72AC64C3" w:rsidR="005605E6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 xml:space="preserve">y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yz</w:t>
      </w:r>
      <w:r w:rsidR="00C014E9">
        <w:rPr>
          <w:rFonts w:cs="MathematicalPi-One"/>
          <w:lang w:val="en-CA"/>
        </w:rPr>
        <w:t>’</w:t>
      </w:r>
    </w:p>
    <w:p w14:paraId="451D53BF" w14:textId="0A61AA90" w:rsidR="00450DC8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 xml:space="preserve">x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cs="PearsonMATH18"/>
          <w:lang w:val="en-CA"/>
        </w:rPr>
        <w:t>)</w:t>
      </w:r>
      <w:r w:rsidR="000067EC">
        <w:rPr>
          <w:rFonts w:cs="PearsonMATH18"/>
          <w:lang w:val="en-CA"/>
        </w:rPr>
        <w:t xml:space="preserve"> </w:t>
      </w:r>
      <w:r w:rsidRPr="005605E6">
        <w:rPr>
          <w:rFonts w:eastAsia="TimesTenLTStd-Italic" w:cs="TimesTenLTStd-Italic"/>
          <w:lang w:val="en-CA"/>
        </w:rPr>
        <w:t>z</w:t>
      </w:r>
    </w:p>
    <w:p w14:paraId="1297634C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49B2C465" w14:textId="2E653E3B" w:rsidR="00450DC8" w:rsidRPr="005605E6" w:rsidRDefault="00450DC8" w:rsidP="00A527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 xml:space="preserve">Design a four-input priority encoder with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0</w:t>
      </w:r>
      <w:r w:rsidRPr="005605E6">
        <w:rPr>
          <w:rFonts w:cs="TimesTenLTStd-Roman"/>
          <w:lang w:val="en-CA"/>
        </w:rPr>
        <w:t xml:space="preserve"> having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 xml:space="preserve">the highest priority and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the lowest priority.</w:t>
      </w:r>
    </w:p>
    <w:sectPr w:rsidR="00450DC8" w:rsidRPr="005605E6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06464" w14:textId="77777777" w:rsidR="00D441B8" w:rsidRDefault="00D441B8" w:rsidP="00BD77EE">
      <w:r>
        <w:separator/>
      </w:r>
    </w:p>
  </w:endnote>
  <w:endnote w:type="continuationSeparator" w:id="0">
    <w:p w14:paraId="50AD3DDE" w14:textId="77777777" w:rsidR="00D441B8" w:rsidRDefault="00D441B8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B3AE9" w14:textId="77777777" w:rsidR="00D441B8" w:rsidRDefault="00D441B8" w:rsidP="00BD77EE">
      <w:r>
        <w:separator/>
      </w:r>
    </w:p>
  </w:footnote>
  <w:footnote w:type="continuationSeparator" w:id="0">
    <w:p w14:paraId="249340C5" w14:textId="77777777" w:rsidR="00D441B8" w:rsidRDefault="00D441B8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E2561F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531D1"/>
    <w:multiLevelType w:val="hybridMultilevel"/>
    <w:tmpl w:val="E728A2FE"/>
    <w:lvl w:ilvl="0" w:tplc="CD70B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1"/>
  </w:num>
  <w:num w:numId="5">
    <w:abstractNumId w:val="7"/>
  </w:num>
  <w:num w:numId="6">
    <w:abstractNumId w:val="41"/>
  </w:num>
  <w:num w:numId="7">
    <w:abstractNumId w:val="3"/>
  </w:num>
  <w:num w:numId="8">
    <w:abstractNumId w:val="34"/>
  </w:num>
  <w:num w:numId="9">
    <w:abstractNumId w:val="15"/>
  </w:num>
  <w:num w:numId="10">
    <w:abstractNumId w:val="24"/>
  </w:num>
  <w:num w:numId="11">
    <w:abstractNumId w:val="32"/>
  </w:num>
  <w:num w:numId="12">
    <w:abstractNumId w:val="28"/>
  </w:num>
  <w:num w:numId="13">
    <w:abstractNumId w:val="21"/>
  </w:num>
  <w:num w:numId="14">
    <w:abstractNumId w:val="11"/>
  </w:num>
  <w:num w:numId="15">
    <w:abstractNumId w:val="13"/>
  </w:num>
  <w:num w:numId="16">
    <w:abstractNumId w:val="4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3"/>
  </w:num>
  <w:num w:numId="25">
    <w:abstractNumId w:val="40"/>
  </w:num>
  <w:num w:numId="26">
    <w:abstractNumId w:val="5"/>
  </w:num>
  <w:num w:numId="27">
    <w:abstractNumId w:val="26"/>
  </w:num>
  <w:num w:numId="28">
    <w:abstractNumId w:val="30"/>
  </w:num>
  <w:num w:numId="29">
    <w:abstractNumId w:val="18"/>
  </w:num>
  <w:num w:numId="30">
    <w:abstractNumId w:val="19"/>
  </w:num>
  <w:num w:numId="31">
    <w:abstractNumId w:val="33"/>
  </w:num>
  <w:num w:numId="32">
    <w:abstractNumId w:val="27"/>
  </w:num>
  <w:num w:numId="33">
    <w:abstractNumId w:val="37"/>
  </w:num>
  <w:num w:numId="34">
    <w:abstractNumId w:val="10"/>
  </w:num>
  <w:num w:numId="35">
    <w:abstractNumId w:val="20"/>
  </w:num>
  <w:num w:numId="36">
    <w:abstractNumId w:val="12"/>
  </w:num>
  <w:num w:numId="37">
    <w:abstractNumId w:val="8"/>
  </w:num>
  <w:num w:numId="38">
    <w:abstractNumId w:val="2"/>
  </w:num>
  <w:num w:numId="39">
    <w:abstractNumId w:val="39"/>
  </w:num>
  <w:num w:numId="40">
    <w:abstractNumId w:val="17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sFAHpj3uE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1CDD"/>
    <w:rsid w:val="0016484E"/>
    <w:rsid w:val="001677E3"/>
    <w:rsid w:val="00176405"/>
    <w:rsid w:val="0017660C"/>
    <w:rsid w:val="001819CC"/>
    <w:rsid w:val="00181D24"/>
    <w:rsid w:val="0018263E"/>
    <w:rsid w:val="00182F65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5357E"/>
    <w:rsid w:val="00255D95"/>
    <w:rsid w:val="002572F3"/>
    <w:rsid w:val="00257F23"/>
    <w:rsid w:val="00263832"/>
    <w:rsid w:val="00265BF6"/>
    <w:rsid w:val="00273FB9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009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49CC"/>
    <w:rsid w:val="003650FC"/>
    <w:rsid w:val="00367751"/>
    <w:rsid w:val="003751FE"/>
    <w:rsid w:val="0038185F"/>
    <w:rsid w:val="00383FB0"/>
    <w:rsid w:val="00390024"/>
    <w:rsid w:val="003934BF"/>
    <w:rsid w:val="003A38BE"/>
    <w:rsid w:val="003A3D49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23E6"/>
    <w:rsid w:val="004930C8"/>
    <w:rsid w:val="00493239"/>
    <w:rsid w:val="00494030"/>
    <w:rsid w:val="00494643"/>
    <w:rsid w:val="0049531E"/>
    <w:rsid w:val="004A2D5A"/>
    <w:rsid w:val="004B3DD8"/>
    <w:rsid w:val="004C4F9B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4BA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B7B34"/>
    <w:rsid w:val="005C6FDE"/>
    <w:rsid w:val="005D11EB"/>
    <w:rsid w:val="005D4428"/>
    <w:rsid w:val="005D5045"/>
    <w:rsid w:val="005E1009"/>
    <w:rsid w:val="005E1F4D"/>
    <w:rsid w:val="005F01B3"/>
    <w:rsid w:val="005F28EF"/>
    <w:rsid w:val="005F2CA1"/>
    <w:rsid w:val="005F3764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27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6EC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888"/>
    <w:rsid w:val="00752A7A"/>
    <w:rsid w:val="007634E2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0D48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1BB3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8607C"/>
    <w:rsid w:val="00991B8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6C8B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3B"/>
    <w:rsid w:val="00D168B7"/>
    <w:rsid w:val="00D16AF8"/>
    <w:rsid w:val="00D173BF"/>
    <w:rsid w:val="00D3151D"/>
    <w:rsid w:val="00D31CF7"/>
    <w:rsid w:val="00D32D99"/>
    <w:rsid w:val="00D343A7"/>
    <w:rsid w:val="00D359BA"/>
    <w:rsid w:val="00D441B8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F32A1"/>
    <w:rsid w:val="00DF4165"/>
    <w:rsid w:val="00DF7EE5"/>
    <w:rsid w:val="00E005D9"/>
    <w:rsid w:val="00E008ED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Lec10 Manual COMP2650 Computer Architecture I Digital Design Winter 2021</vt:lpstr>
      <vt:lpstr>        Faculty of Science</vt:lpstr>
      <vt:lpstr>        </vt:lpstr>
      <vt:lpstr>        COMP-2650: Computer Architecture I: Digital Design</vt:lpstr>
      <vt:lpstr>        Winter 2021</vt:lpstr>
      <vt:lpstr>        </vt:lpstr>
      <vt:lpstr/>
      <vt:lpstr>Lecture Assignments Deliverables</vt:lpstr>
      <vt:lpstr>You should answer two of the below questions based on your preference using an e</vt:lpstr>
      <vt:lpstr>Lecture Assignments</vt:lpstr>
      <vt:lpstr>(Select Only 2 Questions based on your preference)</vt:lpstr>
      <vt:lpstr>Note: the following questions selected from previous lecture assignment (Lec09) </vt:lpstr>
    </vt:vector>
  </TitlesOfParts>
  <Manager/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 Manual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2021-03-09T20:31:00Z</dcterms:modified>
</cp:coreProperties>
</file>