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tl w:val="0"/>
          <w:lang w:val="en-US" w:bidi="en-US"/>
        </w:rPr>
        <w:t>One Practical ML Question</w:t>
      </w:r>
    </w:p>
    <w:p>
      <w:pPr>
        <w:spacing w:after="180"/>
      </w:pPr>
      <w:r>
        <w:rPr>
          <w:i/>
          <w:color w:val="595959"/>
          <w:sz w:val="19"/>
          <w:rtl w:val="0"/>
          <w:lang w:val="en-US" w:bidi="en-US"/>
        </w:rPr>
        <w:t>Neyshekar Persian ASR · Junior AI Engineer Assessment</w:t>
      </w:r>
    </w:p>
    <w:p>
      <w:pPr>
        <w:pStyle w:val="Heading1"/>
      </w:pPr>
      <w:r>
        <w:rPr>
          <w:rtl w:val="0"/>
          <w:lang w:val="en-US" w:bidi="en-US"/>
        </w:rPr>
        <w:t>Scenario</w:t>
      </w:r>
    </w:p>
    <w:p>
      <w:pPr>
        <w:spacing w:after="80"/>
      </w:pPr>
      <w:r>
        <w:rPr>
          <w:i w:val="0"/>
          <w:rtl w:val="0"/>
          <w:lang w:val="en-US" w:bidi="en-US"/>
        </w:rPr>
        <w:t>During training you observe:</w:t>
      </w:r>
    </w:p>
    <w:p>
      <w:pPr>
        <w:spacing w:after="140" w:before="40"/>
        <w:ind w:left="216"/>
      </w:pPr>
      <w:r>
        <w:rPr>
          <w:rFonts w:ascii="Consolas" w:hAnsi="Consolas"/>
          <w:sz w:val="17"/>
          <w:rtl w:val="0"/>
          <w:lang w:val="en-US" w:bidi="en-US"/>
        </w:rPr>
        <w:t>Epoch 1</w:t>
        <w:br/>
        <w:t xml:space="preserve">    Train Loss:       0.42</w:t>
        <w:br/>
        <w:t xml:space="preserve">    Validation Loss:  0.55</w:t>
        <w:br/>
        <w:t xml:space="preserve">    CER:              19%</w:t>
        <w:br/>
        <w:br/>
        <w:t>Epoch 2</w:t>
        <w:br/>
        <w:t xml:space="preserve">    Train Loss:       0.31</w:t>
        <w:br/>
        <w:t xml:space="preserve">    Validation Loss:  0.70</w:t>
        <w:br/>
        <w:t xml:space="preserve">    CER:              26%</w:t>
      </w:r>
    </w:p>
    <w:tbl>
      <w:tblPr>
        <w:tblStyle w:val="TableGrid"/>
        <w:jc w:val="center"/>
        <w:tblLayout w:type="fixed"/>
        <w:tblLook w:firstColumn="1" w:firstRow="1" w:lastColumn="0" w:lastRow="0" w:noHBand="0" w:noVBand="1" w:val="04A0"/>
        <w:tblW w:w="9504" w:type="dxa"/>
      </w:tblPr>
      <w:tblGrid>
        <w:gridCol w:w="2365"/>
        <w:gridCol w:w="2365"/>
        <w:gridCol w:w="2365"/>
        <w:gridCol w:w="2365"/>
      </w:tblGrid>
      <w:tr>
        <w:trPr>
          <w:tblHeader w:val="true"/>
        </w:trPr>
        <w:tc>
          <w:tcPr>
            <w:tcW w:type="dxa" w:w="2448"/>
            <w:shd w:val="clear" w:fill="DCE6F1"/>
          </w:tcPr>
          <w:p>
            <w:pPr>
              <w:spacing w:before="20" w:after="20"/>
            </w:pPr>
            <w:r/>
            <w:r>
              <w:rPr>
                <w:b/>
                <w:sz w:val="18"/>
              </w:rPr>
            </w:r>
          </w:p>
        </w:tc>
        <w:tc>
          <w:tcPr>
            <w:tcW w:type="dxa" w:w="1872"/>
            <w:shd w:val="clear" w:fill="DCE6F1"/>
          </w:tcPr>
          <w:p>
            <w:pPr>
              <w:spacing w:before="20" w:after="20"/>
            </w:pPr>
            <w:r/>
            <w:r>
              <w:rPr>
                <w:b/>
                <w:sz w:val="18"/>
                <w:rtl w:val="0"/>
                <w:lang w:val="en-US" w:bidi="en-US"/>
              </w:rPr>
              <w:t>Epoch 1</w:t>
            </w:r>
          </w:p>
        </w:tc>
        <w:tc>
          <w:tcPr>
            <w:tcW w:type="dxa" w:w="1872"/>
            <w:shd w:val="clear" w:fill="DCE6F1"/>
          </w:tcPr>
          <w:p>
            <w:pPr>
              <w:spacing w:before="20" w:after="20"/>
            </w:pPr>
            <w:r/>
            <w:r>
              <w:rPr>
                <w:b/>
                <w:sz w:val="18"/>
                <w:rtl w:val="0"/>
                <w:lang w:val="en-US" w:bidi="en-US"/>
              </w:rPr>
              <w:t>Epoch 2</w:t>
            </w:r>
          </w:p>
        </w:tc>
        <w:tc>
          <w:tcPr>
            <w:tcW w:type="dxa" w:w="3312"/>
            <w:shd w:val="clear" w:fill="DCE6F1"/>
          </w:tcPr>
          <w:p>
            <w:pPr>
              <w:spacing w:before="20" w:after="20"/>
            </w:pPr>
            <w:r/>
            <w:r>
              <w:rPr>
                <w:b/>
                <w:sz w:val="18"/>
                <w:rtl w:val="0"/>
                <w:lang w:val="en-US" w:bidi="en-US"/>
              </w:rPr>
              <w:t>Direction</w:t>
            </w:r>
          </w:p>
        </w:tc>
      </w:tr>
      <w:tr>
        <w:trPr>
          <w:cantSplit/>
        </w:trPr>
        <w:tc>
          <w:tcPr>
            <w:tcW w:type="dxa" w:w="2448"/>
          </w:tcPr>
          <w:p>
            <w:pPr>
              <w:spacing w:before="20" w:after="20"/>
            </w:pPr>
            <w:r/>
            <w:r>
              <w:rPr>
                <w:b w:val="0"/>
                <w:sz w:val="18"/>
                <w:rtl w:val="0"/>
                <w:lang w:val="en-US" w:bidi="en-US"/>
              </w:rPr>
              <w:t>Train Loss</w:t>
            </w:r>
          </w:p>
        </w:tc>
        <w:tc>
          <w:tcPr>
            <w:tcW w:type="dxa" w:w="1872"/>
          </w:tcPr>
          <w:p>
            <w:pPr>
              <w:spacing w:before="20" w:after="20"/>
              <w:jc w:val="right"/>
            </w:pPr>
            <w:r/>
            <w:r>
              <w:rPr>
                <w:b w:val="0"/>
                <w:sz w:val="18"/>
                <w:rtl w:val="0"/>
                <w:lang w:val="en-US" w:bidi="en-US"/>
              </w:rPr>
              <w:t>0.42</w:t>
            </w:r>
          </w:p>
        </w:tc>
        <w:tc>
          <w:tcPr>
            <w:tcW w:type="dxa" w:w="1872"/>
          </w:tcPr>
          <w:p>
            <w:pPr>
              <w:spacing w:before="20" w:after="20"/>
              <w:jc w:val="right"/>
            </w:pPr>
            <w:r/>
            <w:r>
              <w:rPr>
                <w:b w:val="0"/>
                <w:sz w:val="18"/>
                <w:rtl w:val="0"/>
                <w:lang w:val="en-US" w:bidi="en-US"/>
              </w:rPr>
              <w:t>0.31</w:t>
            </w:r>
          </w:p>
        </w:tc>
        <w:tc>
          <w:tcPr>
            <w:tcW w:type="dxa" w:w="3312"/>
          </w:tcPr>
          <w:p>
            <w:pPr>
              <w:spacing w:before="20" w:after="20"/>
            </w:pPr>
            <w:r/>
            <w:r>
              <w:rPr>
                <w:b w:val="0"/>
                <w:sz w:val="18"/>
                <w:rtl w:val="0"/>
                <w:lang w:val="en-US" w:bidi="en-US"/>
              </w:rPr>
              <w:t>down — better</w:t>
            </w:r>
          </w:p>
        </w:tc>
      </w:tr>
      <w:tr>
        <w:trPr>
          <w:cantSplit/>
        </w:trPr>
        <w:tc>
          <w:tcPr>
            <w:tcW w:type="dxa" w:w="2448"/>
          </w:tcPr>
          <w:p>
            <w:pPr>
              <w:spacing w:before="20" w:after="20"/>
            </w:pPr>
            <w:r/>
            <w:r>
              <w:rPr>
                <w:b w:val="0"/>
                <w:sz w:val="18"/>
                <w:rtl w:val="0"/>
                <w:lang w:val="en-US" w:bidi="en-US"/>
              </w:rPr>
              <w:t>Validation Loss</w:t>
            </w:r>
          </w:p>
        </w:tc>
        <w:tc>
          <w:tcPr>
            <w:tcW w:type="dxa" w:w="1872"/>
          </w:tcPr>
          <w:p>
            <w:pPr>
              <w:spacing w:before="20" w:after="20"/>
              <w:jc w:val="right"/>
            </w:pPr>
            <w:r/>
            <w:r>
              <w:rPr>
                <w:b w:val="0"/>
                <w:sz w:val="18"/>
                <w:rtl w:val="0"/>
                <w:lang w:val="en-US" w:bidi="en-US"/>
              </w:rPr>
              <w:t>0.55</w:t>
            </w:r>
          </w:p>
        </w:tc>
        <w:tc>
          <w:tcPr>
            <w:tcW w:type="dxa" w:w="1872"/>
          </w:tcPr>
          <w:p>
            <w:pPr>
              <w:spacing w:before="20" w:after="20"/>
              <w:jc w:val="right"/>
            </w:pPr>
            <w:r/>
            <w:r>
              <w:rPr>
                <w:b w:val="0"/>
                <w:sz w:val="18"/>
                <w:rtl w:val="0"/>
                <w:lang w:val="en-US" w:bidi="en-US"/>
              </w:rPr>
              <w:t>0.70</w:t>
            </w:r>
          </w:p>
        </w:tc>
        <w:tc>
          <w:tcPr>
            <w:tcW w:type="dxa" w:w="3312"/>
          </w:tcPr>
          <w:p>
            <w:pPr>
              <w:spacing w:before="20" w:after="20"/>
            </w:pPr>
            <w:r/>
            <w:r>
              <w:rPr>
                <w:b w:val="0"/>
                <w:sz w:val="18"/>
                <w:rtl w:val="0"/>
                <w:lang w:val="en-US" w:bidi="en-US"/>
              </w:rPr>
              <w:t>up — worse</w:t>
            </w:r>
          </w:p>
        </w:tc>
      </w:tr>
      <w:tr>
        <w:trPr>
          <w:cantSplit/>
        </w:trPr>
        <w:tc>
          <w:tcPr>
            <w:tcW w:type="dxa" w:w="2448"/>
          </w:tcPr>
          <w:p>
            <w:pPr>
              <w:spacing w:before="20" w:after="20"/>
            </w:pPr>
            <w:r/>
            <w:r>
              <w:rPr>
                <w:b w:val="0"/>
                <w:sz w:val="18"/>
                <w:rtl w:val="0"/>
                <w:lang w:val="en-US" w:bidi="en-US"/>
              </w:rPr>
              <w:t>CER</w:t>
            </w:r>
          </w:p>
        </w:tc>
        <w:tc>
          <w:tcPr>
            <w:tcW w:type="dxa" w:w="1872"/>
          </w:tcPr>
          <w:p>
            <w:pPr>
              <w:spacing w:before="20" w:after="20"/>
              <w:jc w:val="right"/>
            </w:pPr>
            <w:r/>
            <w:r>
              <w:rPr>
                <w:b w:val="0"/>
                <w:sz w:val="18"/>
                <w:rtl w:val="0"/>
                <w:lang w:val="en-US" w:bidi="en-US"/>
              </w:rPr>
              <w:t>19%</w:t>
            </w:r>
          </w:p>
        </w:tc>
        <w:tc>
          <w:tcPr>
            <w:tcW w:type="dxa" w:w="1872"/>
          </w:tcPr>
          <w:p>
            <w:pPr>
              <w:spacing w:before="20" w:after="20"/>
              <w:jc w:val="right"/>
            </w:pPr>
            <w:r/>
            <w:r>
              <w:rPr>
                <w:b w:val="0"/>
                <w:sz w:val="18"/>
                <w:rtl w:val="0"/>
                <w:lang w:val="en-US" w:bidi="en-US"/>
              </w:rPr>
              <w:t>26%</w:t>
            </w:r>
          </w:p>
        </w:tc>
        <w:tc>
          <w:tcPr>
            <w:tcW w:type="dxa" w:w="3312"/>
          </w:tcPr>
          <w:p>
            <w:pPr>
              <w:spacing w:before="20" w:after="20"/>
            </w:pPr>
            <w:r/>
            <w:r>
              <w:rPr>
                <w:b w:val="0"/>
                <w:sz w:val="18"/>
                <w:rtl w:val="0"/>
                <w:lang w:val="en-US" w:bidi="en-US"/>
              </w:rPr>
              <w:t>up — worse</w:t>
            </w:r>
          </w:p>
        </w:tc>
      </w:tr>
    </w:tbl>
    <w:p>
      <w:pPr>
        <w:spacing w:after="20"/>
      </w:pPr>
    </w:p>
    <w:p>
      <w:pPr>
        <w:pStyle w:val="Heading1"/>
      </w:pPr>
      <w:r>
        <w:rPr>
          <w:rtl w:val="0"/>
          <w:lang w:val="en-US" w:bidi="en-US"/>
        </w:rPr>
        <w:t>Answer</w:t>
      </w:r>
    </w:p>
    <w:p>
      <w:r>
        <w:rPr>
          <w:i w:val="0"/>
          <w:rtl w:val="0"/>
          <w:lang w:val="en-US" w:bidi="en-US"/>
        </w:rPr>
        <w:t>Because the Train Loss came down, this means that training did not hit an error, that it followed its natural course, and that training moved forward without any error.</w:t>
      </w:r>
    </w:p>
    <w:p>
      <w:r>
        <w:rPr>
          <w:i w:val="0"/>
          <w:rtl w:val="0"/>
          <w:lang w:val="en-US" w:bidi="en-US"/>
        </w:rPr>
        <w:t>But the Validation Loss shows that the model's output on data it was not trained on declined sharply — meaning it got worse and did not improve. Here I suspect that in this epoch the model did not have data diversity, because its familiarity with unfamiliar data did not get better; it actually got worse.</w:t>
      </w:r>
    </w:p>
    <w:p>
      <w:r>
        <w:rPr>
          <w:i w:val="0"/>
          <w:rtl w:val="0"/>
          <w:lang w:val="en-US" w:bidi="en-US"/>
        </w:rPr>
        <w:t>And the character error also got worse.</w:t>
      </w:r>
    </w:p>
    <w:p>
      <w:r>
        <w:rPr>
          <w:i w:val="0"/>
          <w:rtl w:val="0"/>
          <w:lang w:val="en-US" w:bidi="en-US"/>
        </w:rPr>
        <w:t>If the Validation Loss had gone down in the second epoch but the CER had gone up, we could have considered the possibility that the dataset is made up of dirty data, or that the model can predict its next token but does not generate correctly. But since both went up while the model's Train Loss was improving, I consider it likely that the data inside the dataset is duplicated and that the model has overfitted on some of the data.</w:t>
      </w:r>
    </w:p>
    <w:p>
      <w:r>
        <w:rPr>
          <w:i w:val="0"/>
          <w:rtl w:val="0"/>
          <w:lang w:val="en-US" w:bidi="en-US"/>
        </w:rPr>
        <w:t>And what I would do to fix it is this: since training in the first epoch was probably good, I would save the first epoch. And if I start from the beginning, I can easily compare and see which one had the better trend. And the next thing I would do is definitely work on the dataset: first of all I would remove duplicate records and exactly duplicated audio files, and I would also cap texts that are exactly identical at a maximum of three. Since I did this in my own project, I guess this would solve the problem. But if I change the dataset, I start training from scratch and do not use the checkpoint. The first thing I do is stop the model so it does not go further into error and no extra cost is incurred, and so that what I have trained now is kept — so that in the later stages, when I apply methods to improve the training, I can compare against this training.</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