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spacing w:after="60"/>
      </w:pPr>
      <w:r>
        <w:rPr>
          <w:i w:val="0"/>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Pr>
        <w:t xml:space="preserve">Assumption 1, silence: </w:t>
      </w:r>
      <w: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Pr>
        <w:t xml:space="preserve">Assumption 6, sample rate: </w:t>
      </w:r>
      <w: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t>2. Are there duplicated transcripts?</w:t>
      </w:r>
    </w:p>
    <w:p>
      <w:r>
        <w:rPr>
          <w:b/>
        </w:rPr>
        <w:t xml:space="preserve">Yes — 26,626 distinct transcripts across 39,332 records. </w:t>
      </w:r>
      <w:r>
        <w:rPr>
          <w:b w:val="0"/>
        </w:rPr>
        <w:t>59.0% of records share their text with at least one other record, and 12,706 of them (32.3%) are surplus copies. The two figures answer different questions and both are given, because "how much of the corpus is repeated text" has no single right answer.</w:t>
      </w:r>
    </w:p>
    <w:p>
      <w:pPr>
        <w:spacing w:after="80"/>
      </w:pPr>
      <w:r>
        <w:rPr>
          <w:i w:val="0"/>
        </w:rPr>
        <w:t>Repetition has to be separated into kinds before deciding anything.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Pr>
              <w:t>Copies of the same transcript</w:t>
            </w:r>
          </w:p>
        </w:tc>
        <w:tc>
          <w:tcPr>
            <w:tcW w:type="dxa" w:w="3024"/>
            <w:shd w:val="clear" w:fill="DCE6F1"/>
          </w:tcPr>
          <w:p>
            <w:pPr>
              <w:spacing w:before="20" w:after="20"/>
            </w:pPr>
            <w:r/>
            <w:r>
              <w:rPr>
                <w:b/>
                <w:sz w:val="18"/>
              </w:rPr>
              <w:t>Distinct transcripts</w:t>
            </w:r>
          </w:p>
        </w:tc>
        <w:tc>
          <w:tcPr>
            <w:tcW w:type="dxa" w:w="3024"/>
            <w:shd w:val="clear" w:fill="DCE6F1"/>
          </w:tcPr>
          <w:p>
            <w:pPr>
              <w:spacing w:before="20" w:after="20"/>
            </w:pPr>
            <w:r/>
            <w:r>
              <w:rPr>
                <w:b/>
                <w:sz w:val="18"/>
              </w:rPr>
              <w:t>Records</w:t>
            </w:r>
          </w:p>
        </w:tc>
      </w:tr>
      <w:tr>
        <w:trPr>
          <w:cantSplit/>
        </w:trPr>
        <w:tc>
          <w:tcPr>
            <w:tcW w:type="dxa" w:w="3456"/>
          </w:tcPr>
          <w:p>
            <w:pPr>
              <w:spacing w:before="20" w:after="20"/>
            </w:pPr>
            <w:r/>
            <w:r>
              <w:rPr>
                <w:b w:val="0"/>
                <w:sz w:val="18"/>
              </w:rPr>
              <w:t>1</w:t>
            </w:r>
          </w:p>
        </w:tc>
        <w:tc>
          <w:tcPr>
            <w:tcW w:type="dxa" w:w="3024"/>
          </w:tcPr>
          <w:p>
            <w:pPr>
              <w:spacing w:before="20" w:after="20"/>
              <w:jc w:val="right"/>
            </w:pPr>
            <w:r/>
            <w:r>
              <w:rPr>
                <w:b w:val="0"/>
                <w:sz w:val="18"/>
              </w:rPr>
              <w:t>16,142</w:t>
            </w:r>
          </w:p>
        </w:tc>
        <w:tc>
          <w:tcPr>
            <w:tcW w:type="dxa" w:w="3024"/>
          </w:tcPr>
          <w:p>
            <w:pPr>
              <w:spacing w:before="20" w:after="20"/>
              <w:jc w:val="right"/>
            </w:pPr>
            <w:r/>
            <w:r>
              <w:rPr>
                <w:b w:val="0"/>
                <w:sz w:val="18"/>
              </w:rPr>
              <w:t>16,142</w:t>
            </w:r>
          </w:p>
        </w:tc>
      </w:tr>
      <w:tr>
        <w:trPr>
          <w:cantSplit/>
        </w:trPr>
        <w:tc>
          <w:tcPr>
            <w:tcW w:type="dxa" w:w="3456"/>
          </w:tcPr>
          <w:p>
            <w:pPr>
              <w:spacing w:before="20" w:after="20"/>
            </w:pPr>
            <w:r/>
            <w:r>
              <w:rPr>
                <w:b w:val="0"/>
                <w:sz w:val="18"/>
              </w:rPr>
              <w:t>2</w:t>
            </w:r>
          </w:p>
        </w:tc>
        <w:tc>
          <w:tcPr>
            <w:tcW w:type="dxa" w:w="3024"/>
          </w:tcPr>
          <w:p>
            <w:pPr>
              <w:spacing w:before="20" w:after="20"/>
              <w:jc w:val="right"/>
            </w:pPr>
            <w:r/>
            <w:r>
              <w:rPr>
                <w:b w:val="0"/>
                <w:sz w:val="18"/>
              </w:rPr>
              <w:t>8,463</w:t>
            </w:r>
          </w:p>
        </w:tc>
        <w:tc>
          <w:tcPr>
            <w:tcW w:type="dxa" w:w="3024"/>
          </w:tcPr>
          <w:p>
            <w:pPr>
              <w:spacing w:before="20" w:after="20"/>
              <w:jc w:val="right"/>
            </w:pPr>
            <w:r/>
            <w:r>
              <w:rPr>
                <w:b w:val="0"/>
                <w:sz w:val="18"/>
              </w:rPr>
              <w:t>16,926</w:t>
            </w:r>
          </w:p>
        </w:tc>
      </w:tr>
      <w:tr>
        <w:trPr>
          <w:cantSplit/>
        </w:trPr>
        <w:tc>
          <w:tcPr>
            <w:tcW w:type="dxa" w:w="3456"/>
          </w:tcPr>
          <w:p>
            <w:pPr>
              <w:spacing w:before="20" w:after="20"/>
            </w:pPr>
            <w:r/>
            <w:r>
              <w:rPr>
                <w:b w:val="0"/>
                <w:sz w:val="18"/>
              </w:rPr>
              <w:t>3</w:t>
            </w:r>
          </w:p>
        </w:tc>
        <w:tc>
          <w:tcPr>
            <w:tcW w:type="dxa" w:w="3024"/>
          </w:tcPr>
          <w:p>
            <w:pPr>
              <w:spacing w:before="20" w:after="20"/>
              <w:jc w:val="right"/>
            </w:pPr>
            <w:r/>
            <w:r>
              <w:rPr>
                <w:b w:val="0"/>
                <w:sz w:val="18"/>
              </w:rPr>
              <w:t>1,891</w:t>
            </w:r>
          </w:p>
        </w:tc>
        <w:tc>
          <w:tcPr>
            <w:tcW w:type="dxa" w:w="3024"/>
          </w:tcPr>
          <w:p>
            <w:pPr>
              <w:spacing w:before="20" w:after="20"/>
              <w:jc w:val="right"/>
            </w:pPr>
            <w:r/>
            <w:r>
              <w:rPr>
                <w:b w:val="0"/>
                <w:sz w:val="18"/>
              </w:rPr>
              <w:t>5,673</w:t>
            </w:r>
          </w:p>
        </w:tc>
      </w:tr>
      <w:tr>
        <w:trPr>
          <w:cantSplit/>
        </w:trPr>
        <w:tc>
          <w:tcPr>
            <w:tcW w:type="dxa" w:w="3456"/>
          </w:tcPr>
          <w:p>
            <w:pPr>
              <w:spacing w:before="20" w:after="20"/>
            </w:pPr>
            <w:r/>
            <w:r>
              <w:rPr>
                <w:b w:val="0"/>
                <w:sz w:val="18"/>
              </w:rPr>
              <w:t>4 – 8</w:t>
            </w:r>
          </w:p>
        </w:tc>
        <w:tc>
          <w:tcPr>
            <w:tcW w:type="dxa" w:w="3024"/>
          </w:tcPr>
          <w:p>
            <w:pPr>
              <w:spacing w:before="20" w:after="20"/>
              <w:jc w:val="right"/>
            </w:pPr>
            <w:r/>
            <w:r>
              <w:rPr>
                <w:b w:val="0"/>
                <w:sz w:val="18"/>
              </w:rPr>
              <w:t>128</w:t>
            </w:r>
          </w:p>
        </w:tc>
        <w:tc>
          <w:tcPr>
            <w:tcW w:type="dxa" w:w="3024"/>
          </w:tcPr>
          <w:p>
            <w:pPr>
              <w:spacing w:before="20" w:after="20"/>
              <w:jc w:val="right"/>
            </w:pPr>
            <w:r/>
            <w:r>
              <w:rPr>
                <w:b w:val="0"/>
                <w:sz w:val="18"/>
              </w:rPr>
              <w:t>564</w:t>
            </w:r>
          </w:p>
        </w:tc>
      </w:tr>
      <w:tr>
        <w:trPr>
          <w:cantSplit/>
        </w:trPr>
        <w:tc>
          <w:tcPr>
            <w:tcW w:type="dxa" w:w="3456"/>
          </w:tcPr>
          <w:p>
            <w:pPr>
              <w:spacing w:before="20" w:after="20"/>
            </w:pPr>
            <w:r/>
            <w:r>
              <w:rPr>
                <w:b w:val="0"/>
                <w:sz w:val="18"/>
              </w:rPr>
              <w:t>11</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11</w:t>
            </w:r>
          </w:p>
        </w:tc>
      </w:tr>
      <w:tr>
        <w:trPr>
          <w:cantSplit/>
        </w:trPr>
        <w:tc>
          <w:tcPr>
            <w:tcW w:type="dxa" w:w="3456"/>
          </w:tcPr>
          <w:p>
            <w:pPr>
              <w:spacing w:before="20" w:after="20"/>
            </w:pPr>
            <w:r/>
            <w:r>
              <w:rPr>
                <w:b w:val="0"/>
                <w:sz w:val="18"/>
              </w:rPr>
              <w:t>16</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16</w:t>
            </w:r>
          </w:p>
        </w:tc>
      </w:tr>
      <w:tr>
        <w:trPr>
          <w:cantSplit/>
        </w:trPr>
        <w:tc>
          <w:tcPr>
            <w:tcW w:type="dxa" w:w="3456"/>
          </w:tcPr>
          <w:p>
            <w:pPr>
              <w:spacing w:before="20" w:after="20"/>
            </w:pPr>
            <w:r/>
            <w:r>
              <w:rPr>
                <w:b/>
                <w:sz w:val="18"/>
              </w:rPr>
              <w:t>Total</w:t>
            </w:r>
          </w:p>
        </w:tc>
        <w:tc>
          <w:tcPr>
            <w:tcW w:type="dxa" w:w="3024"/>
          </w:tcPr>
          <w:p>
            <w:pPr>
              <w:spacing w:before="20" w:after="20"/>
              <w:jc w:val="right"/>
            </w:pPr>
            <w:r/>
            <w:r>
              <w:rPr>
                <w:b/>
                <w:sz w:val="18"/>
              </w:rPr>
              <w:t>26,626</w:t>
            </w:r>
          </w:p>
        </w:tc>
        <w:tc>
          <w:tcPr>
            <w:tcW w:type="dxa" w:w="3024"/>
          </w:tcPr>
          <w:p>
            <w:pPr>
              <w:spacing w:before="20" w:after="20"/>
              <w:jc w:val="right"/>
            </w:pPr>
            <w:r/>
            <w:r>
              <w:rPr>
                <w:b/>
                <w:sz w:val="18"/>
              </w:rPr>
              <w:t>39,332</w:t>
            </w:r>
          </w:p>
        </w:tc>
      </w:tr>
    </w:tbl>
    <w:p>
      <w:pPr>
        <w:spacing w:after="20"/>
      </w:pPr>
    </w:p>
    <w:p>
      <w:r>
        <w:rPr>
          <w:i/>
          <w:sz w:val="18"/>
        </w:rPr>
        <w:t>Counted over the 39,332 cleaned records, not the 40,008 raw ones — the normalisation figures above are on the raw set, these are on what survived it.</w:t>
      </w:r>
    </w:p>
    <w:p>
      <w:r>
        <w:rPr>
          <w:i w:val="0"/>
        </w:rPr>
        <w:t>Everything above three copies is a short conversational phrase, which the cap deliberately exempts; the most repeated is a two-word courtesy appearing 16 times. No long sentence survives more than three times.</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with num2fawords</w:t>
            </w:r>
          </w:p>
        </w:tc>
      </w:tr>
    </w:tbl>
    <w:p>
      <w:pPr>
        <w:spacing w:after="20"/>
      </w:pPr>
    </w:p>
    <w:p>
      <w:pPr>
        <w:spacing w:after="120"/>
      </w:pPr>
      <w:r>
        <w:rPr>
          <w:i w:val="0"/>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Pr>
        <w:t xml:space="preserve">What was deliberately not normalised. </w:t>
      </w:r>
      <w:r>
        <w:rPr>
          <w:b w:val="0"/>
        </w:rPr>
        <w:t>The labels keep their zero-width non-joiners and their punctuation exactly as transcribed: 60.0% of records contain a ZWNJ and 80.8% contain punctuation. Only the Arabic codepoints and the digits were rewritten. This is the most consequential orthographic decision in the project and it deserves stating rather than leaving to be inferred from the code.</w:t>
      </w:r>
    </w:p>
    <w:p>
      <w:r>
        <w:rPr>
          <w:i w:val="0"/>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Pr>
        <w:t>That decision has a measured cost.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Pr>
        <w:t>Punctuation was handled the other way round: kept in the labels, stripped at scoring time. The model therefore learns to produce it, and is not penalised for the references' inconsistency about it. Task 2 explains that choice and Task 4 reports what it hides.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Transcript occurs once</w:t>
            </w:r>
          </w:p>
        </w:tc>
        <w:tc>
          <w:tcPr>
            <w:tcW w:type="dxa" w:w="2736"/>
          </w:tcPr>
          <w:p>
            <w:pPr>
              <w:spacing w:before="20" w:after="20"/>
            </w:pPr>
            <w:r/>
            <w:r>
              <w:rPr>
                <w:b w:val="0"/>
                <w:sz w:val="18"/>
              </w:rPr>
              <w:t>—</w:t>
            </w:r>
          </w:p>
        </w:tc>
        <w:tc>
          <w:tcPr>
            <w:tcW w:type="dxa" w:w="1440"/>
          </w:tcPr>
          <w:p>
            <w:pPr>
              <w:spacing w:before="20" w:after="20"/>
              <w:jc w:val="right"/>
            </w:pPr>
            <w:r/>
            <w:r>
              <w:rPr>
                <w:b w:val="0"/>
                <w:sz w:val="18"/>
              </w:rPr>
              <w:t>16,142</w:t>
            </w:r>
          </w:p>
        </w:tc>
        <w:tc>
          <w:tcPr>
            <w:tcW w:type="dxa" w:w="2736"/>
          </w:tcPr>
          <w:p>
            <w:pPr>
              <w:spacing w:before="20" w:after="20"/>
            </w:pPr>
            <w:r/>
            <w:r>
              <w:rPr>
                <w:b w:val="0"/>
                <w:sz w:val="18"/>
              </w:rPr>
              <w:t>kept</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r>
        <w:trPr>
          <w:cantSplit/>
        </w:trPr>
        <w:tc>
          <w:tcPr>
            <w:tcW w:type="dxa" w:w="2592"/>
          </w:tcPr>
          <w:p>
            <w:pPr>
              <w:spacing w:before="20" w:after="20"/>
            </w:pPr>
            <w:r/>
            <w:r>
              <w:rPr>
                <w:b/>
                <w:sz w:val="18"/>
              </w:rPr>
              <w:t>The four rows above</w:t>
            </w:r>
          </w:p>
        </w:tc>
        <w:tc>
          <w:tcPr>
            <w:tcW w:type="dxa" w:w="2736"/>
          </w:tcPr>
          <w:p>
            <w:pPr>
              <w:spacing w:before="20" w:after="20"/>
            </w:pPr>
            <w:r/>
            <w:r>
              <w:rPr>
                <w:b w:val="0"/>
                <w:sz w:val="18"/>
              </w:rPr>
            </w:r>
          </w:p>
        </w:tc>
        <w:tc>
          <w:tcPr>
            <w:tcW w:type="dxa" w:w="1440"/>
          </w:tcPr>
          <w:p>
            <w:pPr>
              <w:spacing w:before="20" w:after="20"/>
              <w:jc w:val="right"/>
            </w:pPr>
            <w:r/>
            <w:r>
              <w:rPr>
                <w:b/>
                <w:sz w:val="18"/>
              </w:rPr>
              <w:t>39,332</w:t>
            </w:r>
          </w:p>
        </w:tc>
        <w:tc>
          <w:tcPr>
            <w:tcW w:type="dxa" w:w="2736"/>
          </w:tcPr>
          <w:p>
            <w:pPr>
              <w:spacing w:before="20" w:after="20"/>
            </w:pPr>
            <w:r/>
            <w:r>
              <w:rPr>
                <w:b/>
                <w:sz w:val="18"/>
              </w:rPr>
              <w:t>the final corpus</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bytes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 earlier</w:t>
            </w:r>
          </w:p>
        </w:tc>
      </w:tr>
    </w:tbl>
    <w:p>
      <w:pPr>
        <w:spacing w:after="20"/>
      </w:pPr>
    </w:p>
    <w:p>
      <w:pPr>
        <w:spacing w:after="120"/>
      </w:pPr>
      <w:r>
        <w:rPr>
          <w:i w:val="0"/>
        </w:rPr>
        <w:t>The first four rows account for every record in the final corpus. Exact row duplicates sit below the line because they were removed before this classification ran.</w:t>
      </w: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