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Pr>
        <w:t>Task 5 — Engineering</w:t>
      </w:r>
    </w:p>
    <w:p>
      <w:pPr>
        <w:spacing w:after="180"/>
      </w:pPr>
      <w:r>
        <w:rPr>
          <w:i/>
          <w:color w:val="595959"/>
          <w:sz w:val="19"/>
        </w:rPr>
        <w:t>Neyshekar Persian ASR · where each criterion lives in the repository</w:t>
      </w:r>
    </w:p>
    <w:p>
      <w:pPr>
        <w:spacing w:after="100"/>
      </w:pPr>
      <w:r>
        <w:rPr>
          <w:i w:val="0"/>
        </w:rPr>
        <w:t>This section indexes rather than argues. Each row names the criterion, the file that satisfies it and the concrete evidence, so the code can be checked directly.</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2160"/>
            <w:shd w:val="clear" w:fill="DCE6F1"/>
          </w:tcPr>
          <w:p>
            <w:pPr>
              <w:spacing w:before="20" w:after="20"/>
            </w:pPr>
            <w:r/>
            <w:r>
              <w:rPr>
                <w:b/>
                <w:sz w:val="17"/>
              </w:rPr>
              <w:t>Criterion</w:t>
            </w:r>
          </w:p>
        </w:tc>
        <w:tc>
          <w:tcPr>
            <w:tcW w:type="dxa" w:w="2304"/>
            <w:shd w:val="clear" w:fill="DCE6F1"/>
          </w:tcPr>
          <w:p>
            <w:pPr>
              <w:spacing w:before="20" w:after="20"/>
            </w:pPr>
            <w:r/>
            <w:r>
              <w:rPr>
                <w:b/>
                <w:sz w:val="17"/>
              </w:rPr>
              <w:t>Where</w:t>
            </w:r>
          </w:p>
        </w:tc>
        <w:tc>
          <w:tcPr>
            <w:tcW w:type="dxa" w:w="5040"/>
            <w:shd w:val="clear" w:fill="DCE6F1"/>
          </w:tcPr>
          <w:p>
            <w:pPr>
              <w:spacing w:before="20" w:after="20"/>
            </w:pPr>
            <w:r/>
            <w:r>
              <w:rPr>
                <w:b/>
                <w:sz w:val="17"/>
              </w:rPr>
              <w:t>Evidence</w:t>
            </w:r>
          </w:p>
        </w:tc>
      </w:tr>
      <w:tr>
        <w:trPr>
          <w:cantSplit/>
        </w:trPr>
        <w:tc>
          <w:tcPr>
            <w:tcW w:type="dxa" w:w="2160"/>
          </w:tcPr>
          <w:p>
            <w:pPr>
              <w:spacing w:before="20" w:after="20"/>
            </w:pPr>
            <w:r/>
            <w:r>
              <w:rPr>
                <w:b w:val="0"/>
                <w:sz w:val="17"/>
              </w:rPr>
              <w:t>Configuration management</w:t>
            </w:r>
          </w:p>
        </w:tc>
        <w:tc>
          <w:tcPr>
            <w:tcW w:type="dxa" w:w="2304"/>
          </w:tcPr>
          <w:p>
            <w:pPr>
              <w:spacing w:before="20" w:after="20"/>
            </w:pPr>
            <w:r/>
            <w:r>
              <w:rPr>
                <w:b w:val="0"/>
                <w:sz w:val="17"/>
              </w:rPr>
              <w:t>src/config.py</w:t>
            </w:r>
          </w:p>
        </w:tc>
        <w:tc>
          <w:tcPr>
            <w:tcW w:type="dxa" w:w="5040"/>
          </w:tcPr>
          <w:p>
            <w:pPr>
              <w:spacing w:before="20" w:after="20"/>
            </w:pPr>
            <w:r/>
            <w:r>
              <w:rPr>
                <w:b w:val="0"/>
                <w:sz w:val="17"/>
              </w:rPr>
              <w:t>Every setting in one 208-line module with the reasoning beside it. No value is duplicated in the training code, and no path is written into any script.</w:t>
            </w:r>
          </w:p>
        </w:tc>
      </w:tr>
      <w:tr>
        <w:trPr>
          <w:cantSplit/>
        </w:trPr>
        <w:tc>
          <w:tcPr>
            <w:tcW w:type="dxa" w:w="2160"/>
          </w:tcPr>
          <w:p>
            <w:pPr>
              <w:spacing w:before="20" w:after="20"/>
            </w:pPr>
            <w:r/>
            <w:r>
              <w:rPr>
                <w:b w:val="0"/>
                <w:sz w:val="17"/>
              </w:rPr>
              <w:t>Deterministic seed</w:t>
            </w:r>
          </w:p>
        </w:tc>
        <w:tc>
          <w:tcPr>
            <w:tcW w:type="dxa" w:w="2304"/>
          </w:tcPr>
          <w:p>
            <w:pPr>
              <w:spacing w:before="20" w:after="20"/>
            </w:pPr>
            <w:r/>
            <w:r>
              <w:rPr>
                <w:b w:val="0"/>
                <w:sz w:val="17"/>
              </w:rPr>
              <w:t>src/config.py — set_seed()</w:t>
            </w:r>
          </w:p>
        </w:tc>
        <w:tc>
          <w:tcPr>
            <w:tcW w:type="dxa" w:w="5040"/>
          </w:tcPr>
          <w:p>
            <w:pPr>
              <w:spacing w:before="20" w:after="20"/>
            </w:pPr>
            <w:r/>
            <w:r>
              <w:rPr>
                <w:b w:val="0"/>
                <w:sz w:val="17"/>
              </w:rPr>
              <w:t>Seed 42 across random, numpy, torch and torch.cuda, plus PYTHONHASHSEED, cudnn.deterministic=True and cudnn.benchmark=False. Called at three points in train.py, and logged each time.</w:t>
            </w:r>
          </w:p>
        </w:tc>
      </w:tr>
      <w:tr>
        <w:trPr>
          <w:cantSplit/>
        </w:trPr>
        <w:tc>
          <w:tcPr>
            <w:tcW w:type="dxa" w:w="2160"/>
          </w:tcPr>
          <w:p>
            <w:pPr>
              <w:spacing w:before="20" w:after="20"/>
            </w:pPr>
            <w:r/>
            <w:r>
              <w:rPr>
                <w:b w:val="0"/>
                <w:sz w:val="17"/>
              </w:rPr>
              <w:t>Modularity</w:t>
            </w:r>
          </w:p>
        </w:tc>
        <w:tc>
          <w:tcPr>
            <w:tcW w:type="dxa" w:w="2304"/>
          </w:tcPr>
          <w:p>
            <w:pPr>
              <w:spacing w:before="20" w:after="20"/>
            </w:pPr>
            <w:r/>
            <w:r>
              <w:rPr>
                <w:b w:val="0"/>
                <w:sz w:val="17"/>
              </w:rPr>
              <w:t>src/</w:t>
            </w:r>
          </w:p>
        </w:tc>
        <w:tc>
          <w:tcPr>
            <w:tcW w:type="dxa" w:w="5040"/>
          </w:tcPr>
          <w:p>
            <w:pPr>
              <w:spacing w:before="20" w:after="20"/>
            </w:pPr>
            <w:r/>
            <w:r>
              <w:rPr>
                <w:b w:val="0"/>
                <w:sz w:val="17"/>
              </w:rPr>
              <w:t>config, text_cleaner, data_prep, dataset, model, metrics, train, paths — each with a single responsibility. The training path imports none of the Task 1 investigation scripts; they communicate through the committed CSVs.</w:t>
            </w:r>
          </w:p>
        </w:tc>
      </w:tr>
      <w:tr>
        <w:trPr>
          <w:cantSplit/>
        </w:trPr>
        <w:tc>
          <w:tcPr>
            <w:tcW w:type="dxa" w:w="2160"/>
          </w:tcPr>
          <w:p>
            <w:pPr>
              <w:spacing w:before="20" w:after="20"/>
            </w:pPr>
            <w:r/>
            <w:r>
              <w:rPr>
                <w:b w:val="0"/>
                <w:sz w:val="17"/>
              </w:rPr>
              <w:t>Logging</w:t>
            </w:r>
          </w:p>
        </w:tc>
        <w:tc>
          <w:tcPr>
            <w:tcW w:type="dxa" w:w="2304"/>
          </w:tcPr>
          <w:p>
            <w:pPr>
              <w:spacing w:before="20" w:after="20"/>
            </w:pPr>
            <w:r/>
            <w:r>
              <w:rPr>
                <w:b w:val="0"/>
                <w:sz w:val="17"/>
              </w:rPr>
              <w:t>throughout</w:t>
            </w:r>
          </w:p>
        </w:tc>
        <w:tc>
          <w:tcPr>
            <w:tcW w:type="dxa" w:w="5040"/>
          </w:tcPr>
          <w:p>
            <w:pPr>
              <w:spacing w:before="20" w:after="20"/>
            </w:pPr>
            <w:r/>
            <w:r>
              <w:rPr>
                <w:b w:val="0"/>
                <w:sz w:val="17"/>
              </w:rPr>
              <w:t>Tagged lines rather than bare prints: [GPU], [SEED], [MATCH], [SPLIT], [VERIFY], [DECODE], [AUDIO PREP], [PRECISION], [COLLATOR], [EVAL SUBSET], [PEAK VRAM]. The 10,315-line run log can be read as a record of what the pipeline decided.</w:t>
            </w:r>
          </w:p>
        </w:tc>
      </w:tr>
      <w:tr>
        <w:trPr>
          <w:cantSplit/>
        </w:trPr>
        <w:tc>
          <w:tcPr>
            <w:tcW w:type="dxa" w:w="2160"/>
          </w:tcPr>
          <w:p>
            <w:pPr>
              <w:spacing w:before="20" w:after="20"/>
            </w:pPr>
            <w:r/>
            <w:r>
              <w:rPr>
                <w:b w:val="0"/>
                <w:sz w:val="17"/>
              </w:rPr>
              <w:t>Experiment tracking</w:t>
            </w:r>
          </w:p>
        </w:tc>
        <w:tc>
          <w:tcPr>
            <w:tcW w:type="dxa" w:w="2304"/>
          </w:tcPr>
          <w:p>
            <w:pPr>
              <w:spacing w:before="20" w:after="20"/>
            </w:pPr>
            <w:r/>
            <w:r>
              <w:rPr>
                <w:b w:val="0"/>
                <w:sz w:val="17"/>
              </w:rPr>
              <w:t>TensorBoard + published artefacts</w:t>
            </w:r>
          </w:p>
        </w:tc>
        <w:tc>
          <w:tcPr>
            <w:tcW w:type="dxa" w:w="5040"/>
          </w:tcPr>
          <w:p>
            <w:pPr>
              <w:spacing w:before="20" w:after="20"/>
            </w:pPr>
            <w:r/>
            <w:r>
              <w:rPr>
                <w:b w:val="0"/>
                <w:sz w:val="17"/>
              </w:rPr>
              <w:t>report_to=["tensorboard"], logging_steps=10. trainer_state.json, training_curve.csv, train.log and the ablation logs are published with the model, and collect_run_facts.py re-reads them to reproduce every figure quoted in Tasks 2 and 3.</w:t>
            </w:r>
          </w:p>
        </w:tc>
      </w:tr>
      <w:tr>
        <w:trPr>
          <w:cantSplit/>
        </w:trPr>
        <w:tc>
          <w:tcPr>
            <w:tcW w:type="dxa" w:w="2160"/>
          </w:tcPr>
          <w:p>
            <w:pPr>
              <w:spacing w:before="20" w:after="20"/>
            </w:pPr>
            <w:r/>
            <w:r>
              <w:rPr>
                <w:b w:val="0"/>
                <w:sz w:val="17"/>
              </w:rPr>
              <w:t>Reproducibility</w:t>
            </w:r>
          </w:p>
        </w:tc>
        <w:tc>
          <w:tcPr>
            <w:tcW w:type="dxa" w:w="2304"/>
          </w:tcPr>
          <w:p>
            <w:pPr>
              <w:spacing w:before="20" w:after="20"/>
            </w:pPr>
            <w:r/>
            <w:r>
              <w:rPr>
                <w:b w:val="0"/>
                <w:sz w:val="17"/>
              </w:rPr>
              <w:t>four verification scripts</w:t>
            </w:r>
          </w:p>
        </w:tc>
        <w:tc>
          <w:tcPr>
            <w:tcW w:type="dxa" w:w="5040"/>
          </w:tcPr>
          <w:p>
            <w:pPr>
              <w:spacing w:before="20" w:after="20"/>
            </w:pPr>
            <w:r/>
            <w:r>
              <w:rPr>
                <w:b w:val="0"/>
                <w:sz w:val="17"/>
              </w:rPr>
              <w:t>preflight_check.py — 50 checks before any GPU time. verify_task1.py — replays the cleaning pipeline from the raw shards. collect_run_facts.py — re-derives the reported metrics from the published artefacts. verify_github.bat — clones the repository fresh and runs against that copy.</w:t>
            </w:r>
          </w:p>
        </w:tc>
      </w:tr>
      <w:tr>
        <w:trPr>
          <w:cantSplit/>
        </w:trPr>
        <w:tc>
          <w:tcPr>
            <w:tcW w:type="dxa" w:w="2160"/>
          </w:tcPr>
          <w:p>
            <w:pPr>
              <w:spacing w:before="20" w:after="20"/>
            </w:pPr>
            <w:r/>
            <w:r>
              <w:rPr>
                <w:b w:val="0"/>
                <w:sz w:val="17"/>
              </w:rPr>
              <w:t>Documentation</w:t>
            </w:r>
          </w:p>
        </w:tc>
        <w:tc>
          <w:tcPr>
            <w:tcW w:type="dxa" w:w="2304"/>
          </w:tcPr>
          <w:p>
            <w:pPr>
              <w:spacing w:before="20" w:after="20"/>
            </w:pPr>
            <w:r/>
            <w:r>
              <w:rPr>
                <w:b w:val="0"/>
                <w:sz w:val="17"/>
              </w:rPr>
              <w:t>README.md and module docstrings</w:t>
            </w:r>
          </w:p>
        </w:tc>
        <w:tc>
          <w:tcPr>
            <w:tcW w:type="dxa" w:w="5040"/>
          </w:tcPr>
          <w:p>
            <w:pPr>
              <w:spacing w:before="20" w:after="20"/>
            </w:pPr>
            <w:r/>
            <w:r>
              <w:rPr>
                <w:b w:val="0"/>
                <w:sz w:val="17"/>
              </w:rPr>
              <w:t>Every module opens with a docstring stating what it does and why. Comments explain decisions rather than restating code — why trimming runs before normalisation, why the SOT comparison uses decoder_start_token_id, why cudnn.benchmark is off.</w:t>
            </w:r>
          </w:p>
        </w:tc>
      </w:tr>
      <w:tr>
        <w:trPr>
          <w:cantSplit/>
        </w:trPr>
        <w:tc>
          <w:tcPr>
            <w:tcW w:type="dxa" w:w="2160"/>
          </w:tcPr>
          <w:p>
            <w:pPr>
              <w:spacing w:before="20" w:after="20"/>
            </w:pPr>
            <w:r/>
            <w:r>
              <w:rPr>
                <w:b w:val="0"/>
                <w:sz w:val="17"/>
              </w:rPr>
              <w:t>Readability</w:t>
            </w:r>
          </w:p>
        </w:tc>
        <w:tc>
          <w:tcPr>
            <w:tcW w:type="dxa" w:w="2304"/>
          </w:tcPr>
          <w:p>
            <w:pPr>
              <w:spacing w:before="20" w:after="20"/>
            </w:pPr>
            <w:r/>
            <w:r>
              <w:rPr>
                <w:b w:val="0"/>
                <w:sz w:val="17"/>
              </w:rPr>
              <w:t>naming and structure</w:t>
            </w:r>
          </w:p>
        </w:tc>
        <w:tc>
          <w:tcPr>
            <w:tcW w:type="dxa" w:w="5040"/>
          </w:tcPr>
          <w:p>
            <w:pPr>
              <w:spacing w:before="20" w:after="20"/>
            </w:pPr>
            <w:r/>
            <w:r>
              <w:rPr>
                <w:b w:val="0"/>
                <w:sz w:val="17"/>
              </w:rPr>
              <w:t>Functions are short and named for what they do. The four defects described in Task 2 each produced a check in preflight_check.py whose name states the invariant, so the test output reads as a list of the things that must remain true.</w:t>
            </w:r>
          </w:p>
        </w:tc>
      </w:tr>
    </w:tbl>
    <w:p>
      <w:pPr>
        <w:spacing w:after="20"/>
      </w:pPr>
    </w:p>
    <w:p>
      <w:pPr>
        <w:pStyle w:val="Heading1"/>
      </w:pPr>
      <w:r>
        <w:t>No hidden notebooks with hard-coded paths</w:t>
      </w:r>
    </w:p>
    <w:p>
      <w:r>
        <w:rPr>
          <w:i w:val="0"/>
        </w:rPr>
        <w:t>The two notebooks are launchers and carry no analysis of their own. Neither contains a path: 01_dataset_investigation.ipynb resolves the dataset location through src/paths.py, and 02_training_pipeline.ipynb clones the repository from GitHub rather than mounting a particular Drive account, so it runs on a fresh Colab runtime with no setup.</w:t>
      </w:r>
    </w:p>
    <w:p>
      <w:r>
        <w:rPr>
          <w:i w:val="0"/>
        </w:rPr>
        <w:t>This was not true of the first version. Five files carried literal paths left over from the exploration phase, and they were replaced with a single resolver that reads a command-line argument or an environment variable and fails with a clear message when neither is set. The scripts that produced the committed CSVs are among them; the CSVs themselves were not regenerated, so nothing downstream of that change moved.</w:t>
      </w:r>
    </w:p>
    <w:p>
      <w:pPr>
        <w:pStyle w:val="Heading1"/>
      </w:pPr>
      <w:r>
        <w:t>Where it falls short</w:t>
      </w:r>
    </w:p>
    <w:p>
      <w:r>
        <w:rPr>
          <w:i w:val="0"/>
        </w:rPr>
        <w:t>requirements.txt declares minimum versions rather than exact ones, and the run's environment was not captured with pip freeze before the machine was released. Seeds, configuration, data and evaluation subsets are all fixed, so the pipeline is reproducible in every respect except the library versions it runs against. For a run that has to be reproduced exactly, a lock file belongs next to the checkpoint. This is noted in requirements.txt itself rather than left for someone to discover.</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