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4E79"/>
          <w:sz w:val="38"/>
        </w:rPr>
        <w:t>Task 3 — Analysis of the Learning Process</w:t>
      </w:r>
    </w:p>
    <w:p>
      <w:pPr>
        <w:spacing w:after="180"/>
      </w:pPr>
      <w:r>
        <w:rPr>
          <w:i/>
          <w:color w:val="595959"/>
          <w:sz w:val="19"/>
        </w:rPr>
        <w:t>Neyshekar Persian ASR · 3 epochs, 6,270 optimizer steps on a single NVIDIA L4</w:t>
      </w:r>
    </w:p>
    <w:p>
      <w:pPr>
        <w:pStyle w:val="Heading1"/>
      </w:pPr>
      <w:r>
        <w:t>1. What was measured</w:t>
      </w:r>
    </w:p>
    <w:tbl>
      <w:tblPr>
        <w:tblStyle w:val="TableGrid"/>
        <w:jc w:val="center"/>
        <w:tblLayout w:type="fixed"/>
        <w:tblLook w:firstColumn="1" w:firstRow="1" w:lastColumn="0" w:lastRow="0" w:noHBand="0" w:noVBand="1" w:val="04A0"/>
        <w:tblW w:w="9504" w:type="dxa"/>
      </w:tblPr>
      <w:tblGrid>
        <w:gridCol w:w="3154"/>
        <w:gridCol w:w="3154"/>
        <w:gridCol w:w="3154"/>
      </w:tblGrid>
      <w:tr>
        <w:trPr>
          <w:tblHeader w:val="true"/>
        </w:trPr>
        <w:tc>
          <w:tcPr>
            <w:tcW w:type="dxa" w:w="1872"/>
            <w:shd w:val="clear" w:fill="DCE6F1"/>
          </w:tcPr>
          <w:p>
            <w:pPr>
              <w:spacing w:before="20" w:after="20"/>
            </w:pPr>
            <w:r/>
            <w:r>
              <w:rPr>
                <w:b/>
                <w:sz w:val="18"/>
              </w:rPr>
              <w:t>Quantity</w:t>
            </w:r>
          </w:p>
        </w:tc>
        <w:tc>
          <w:tcPr>
            <w:tcW w:type="dxa" w:w="1872"/>
            <w:shd w:val="clear" w:fill="DCE6F1"/>
          </w:tcPr>
          <w:p>
            <w:pPr>
              <w:spacing w:before="20" w:after="20"/>
            </w:pPr>
            <w:r/>
            <w:r>
              <w:rPr>
                <w:b/>
                <w:sz w:val="18"/>
              </w:rPr>
              <w:t>Frequency</w:t>
            </w:r>
          </w:p>
        </w:tc>
        <w:tc>
          <w:tcPr>
            <w:tcW w:type="dxa" w:w="5760"/>
            <w:shd w:val="clear" w:fill="DCE6F1"/>
          </w:tcPr>
          <w:p>
            <w:pPr>
              <w:spacing w:before="20" w:after="20"/>
            </w:pPr>
            <w:r/>
            <w:r>
              <w:rPr>
                <w:b/>
                <w:sz w:val="18"/>
              </w:rPr>
              <w:t>How it is computed</w:t>
            </w:r>
          </w:p>
        </w:tc>
      </w:tr>
      <w:tr>
        <w:trPr>
          <w:cantSplit/>
        </w:trPr>
        <w:tc>
          <w:tcPr>
            <w:tcW w:type="dxa" w:w="1872"/>
          </w:tcPr>
          <w:p>
            <w:pPr>
              <w:spacing w:before="20" w:after="20"/>
            </w:pPr>
            <w:r/>
            <w:r>
              <w:rPr>
                <w:b w:val="0"/>
                <w:sz w:val="18"/>
              </w:rPr>
              <w:t>Training loss</w:t>
            </w:r>
          </w:p>
        </w:tc>
        <w:tc>
          <w:tcPr>
            <w:tcW w:type="dxa" w:w="1872"/>
          </w:tcPr>
          <w:p>
            <w:pPr>
              <w:spacing w:before="20" w:after="20"/>
            </w:pPr>
            <w:r/>
            <w:r>
              <w:rPr>
                <w:b w:val="0"/>
                <w:sz w:val="18"/>
              </w:rPr>
              <w:t>every 10 steps</w:t>
            </w:r>
          </w:p>
        </w:tc>
        <w:tc>
          <w:tcPr>
            <w:tcW w:type="dxa" w:w="5760"/>
          </w:tcPr>
          <w:p>
            <w:pPr>
              <w:spacing w:before="20" w:after="20"/>
            </w:pPr>
            <w:r/>
            <w:r>
              <w:rPr>
                <w:b w:val="0"/>
                <w:sz w:val="18"/>
              </w:rPr>
              <w:t>teacher-forced cross-entropy on the training batch</w:t>
            </w:r>
          </w:p>
        </w:tc>
      </w:tr>
      <w:tr>
        <w:trPr>
          <w:cantSplit/>
        </w:trPr>
        <w:tc>
          <w:tcPr>
            <w:tcW w:type="dxa" w:w="1872"/>
          </w:tcPr>
          <w:p>
            <w:pPr>
              <w:spacing w:before="20" w:after="20"/>
            </w:pPr>
            <w:r/>
            <w:r>
              <w:rPr>
                <w:b w:val="0"/>
                <w:sz w:val="18"/>
              </w:rPr>
              <w:t>Validation loss</w:t>
            </w:r>
          </w:p>
        </w:tc>
        <w:tc>
          <w:tcPr>
            <w:tcW w:type="dxa" w:w="1872"/>
          </w:tcPr>
          <w:p>
            <w:pPr>
              <w:spacing w:before="20" w:after="20"/>
            </w:pPr>
            <w:r/>
            <w:r>
              <w:rPr>
                <w:b w:val="0"/>
                <w:sz w:val="18"/>
              </w:rPr>
              <w:t>every 1,500 steps</w:t>
            </w:r>
          </w:p>
        </w:tc>
        <w:tc>
          <w:tcPr>
            <w:tcW w:type="dxa" w:w="5760"/>
          </w:tcPr>
          <w:p>
            <w:pPr>
              <w:spacing w:before="20" w:after="20"/>
            </w:pPr>
            <w:r/>
            <w:r>
              <w:rPr>
                <w:b w:val="0"/>
                <w:sz w:val="18"/>
              </w:rPr>
              <w:t>teacher-forced cross-entropy on held-out data</w:t>
            </w:r>
          </w:p>
        </w:tc>
      </w:tr>
      <w:tr>
        <w:trPr>
          <w:cantSplit/>
        </w:trPr>
        <w:tc>
          <w:tcPr>
            <w:tcW w:type="dxa" w:w="1872"/>
          </w:tcPr>
          <w:p>
            <w:pPr>
              <w:spacing w:before="20" w:after="20"/>
            </w:pPr>
            <w:r/>
            <w:r>
              <w:rPr>
                <w:b w:val="0"/>
                <w:sz w:val="18"/>
              </w:rPr>
              <w:t>WER and CER</w:t>
            </w:r>
          </w:p>
        </w:tc>
        <w:tc>
          <w:tcPr>
            <w:tcW w:type="dxa" w:w="1872"/>
          </w:tcPr>
          <w:p>
            <w:pPr>
              <w:spacing w:before="20" w:after="20"/>
            </w:pPr>
            <w:r/>
            <w:r>
              <w:rPr>
                <w:b w:val="0"/>
                <w:sz w:val="18"/>
              </w:rPr>
              <w:t>every 1,500 steps</w:t>
            </w:r>
          </w:p>
        </w:tc>
        <w:tc>
          <w:tcPr>
            <w:tcW w:type="dxa" w:w="5760"/>
          </w:tcPr>
          <w:p>
            <w:pPr>
              <w:spacing w:before="20" w:after="20"/>
            </w:pPr>
            <w:r/>
            <w:r>
              <w:rPr>
                <w:b w:val="0"/>
                <w:sz w:val="18"/>
              </w:rPr>
              <w:t>free autoregressive generation, compared to the reference</w:t>
            </w:r>
          </w:p>
        </w:tc>
      </w:tr>
    </w:tbl>
    <w:p>
      <w:pPr>
        <w:spacing w:after="20"/>
      </w:pPr>
    </w:p>
    <w:p>
      <w:r>
        <w:rPr>
          <w:i w:val="0"/>
        </w:rPr>
        <w:t>Loss and error rate are not the same measurement. Loss is computed with teacher forcing: at every position the model is handed the correct previous tokens and only predicts the next one. WER and CER require it to generate the whole transcript unaided, so an early mistake propagates. The two can move independently, and a falling loss does not by itself mean the transcripts are improving. For that reason validation loss is used here to describe the run, never to decide anything: checkpoint selection ran on WER (metric_for_best_model="wer"), which is the metric that reflects what the model actually produces.</w:t>
      </w:r>
    </w:p>
    <w:p>
      <w:r>
        <w:rPr>
          <w:i w:val="0"/>
        </w:rPr>
        <w:t>Each in-training evaluation ran over a fixed, seeded 500-row subset of the validation split rather than all 5,900 rows, because generation is expensive — those five evaluations cost 49 minutes, and the full split took 1 h 53 min on its own. Final metrics were measured over the whole split. Where the two disagree, section 4 uses the disagreement rather than ignoring it.</w:t>
      </w:r>
    </w:p>
    <w:p>
      <w:pPr>
        <w:pStyle w:val="Heading1"/>
      </w:pPr>
      <w:r>
        <w:t>2. Results</w:t>
      </w:r>
    </w:p>
    <w:tbl>
      <w:tblPr>
        <w:tblStyle w:val="TableGrid"/>
        <w:jc w:val="center"/>
        <w:tblLayout w:type="fixed"/>
        <w:tblLook w:firstColumn="1" w:firstRow="1" w:lastColumn="0" w:lastRow="0" w:noHBand="0" w:noVBand="1" w:val="04A0"/>
        <w:tblW w:w="9216" w:type="dxa"/>
      </w:tblPr>
      <w:tblGrid>
        <w:gridCol w:w="1577"/>
        <w:gridCol w:w="1577"/>
        <w:gridCol w:w="1577"/>
        <w:gridCol w:w="1577"/>
        <w:gridCol w:w="1577"/>
        <w:gridCol w:w="1577"/>
      </w:tblGrid>
      <w:tr>
        <w:trPr>
          <w:tblHeader w:val="true"/>
        </w:trPr>
        <w:tc>
          <w:tcPr>
            <w:tcW w:type="dxa" w:w="2304"/>
            <w:shd w:val="clear" w:fill="DCE6F1"/>
          </w:tcPr>
          <w:p>
            <w:pPr>
              <w:spacing w:before="20" w:after="20"/>
            </w:pPr>
            <w:r/>
            <w:r>
              <w:rPr>
                <w:b/>
                <w:sz w:val="18"/>
              </w:rPr>
              <w:t>Step</w:t>
            </w:r>
          </w:p>
        </w:tc>
        <w:tc>
          <w:tcPr>
            <w:tcW w:type="dxa" w:w="1152"/>
            <w:shd w:val="clear" w:fill="DCE6F1"/>
          </w:tcPr>
          <w:p>
            <w:pPr>
              <w:spacing w:before="20" w:after="20"/>
            </w:pPr>
            <w:r/>
            <w:r>
              <w:rPr>
                <w:b/>
                <w:sz w:val="18"/>
              </w:rPr>
              <w:t>Epoch</w:t>
            </w:r>
          </w:p>
        </w:tc>
        <w:tc>
          <w:tcPr>
            <w:tcW w:type="dxa" w:w="1584"/>
            <w:shd w:val="clear" w:fill="DCE6F1"/>
          </w:tcPr>
          <w:p>
            <w:pPr>
              <w:spacing w:before="20" w:after="20"/>
            </w:pPr>
            <w:r/>
            <w:r>
              <w:rPr>
                <w:b/>
                <w:sz w:val="18"/>
              </w:rPr>
              <w:t>Train loss</w:t>
            </w:r>
          </w:p>
        </w:tc>
        <w:tc>
          <w:tcPr>
            <w:tcW w:type="dxa" w:w="1584"/>
            <w:shd w:val="clear" w:fill="DCE6F1"/>
          </w:tcPr>
          <w:p>
            <w:pPr>
              <w:spacing w:before="20" w:after="20"/>
            </w:pPr>
            <w:r/>
            <w:r>
              <w:rPr>
                <w:b/>
                <w:sz w:val="18"/>
              </w:rPr>
              <w:t>Val loss</w:t>
            </w:r>
          </w:p>
        </w:tc>
        <w:tc>
          <w:tcPr>
            <w:tcW w:type="dxa" w:w="1296"/>
            <w:shd w:val="clear" w:fill="DCE6F1"/>
          </w:tcPr>
          <w:p>
            <w:pPr>
              <w:spacing w:before="20" w:after="20"/>
            </w:pPr>
            <w:r/>
            <w:r>
              <w:rPr>
                <w:b/>
                <w:sz w:val="18"/>
              </w:rPr>
              <w:t>WER %</w:t>
            </w:r>
          </w:p>
        </w:tc>
        <w:tc>
          <w:tcPr>
            <w:tcW w:type="dxa" w:w="1296"/>
            <w:shd w:val="clear" w:fill="DCE6F1"/>
          </w:tcPr>
          <w:p>
            <w:pPr>
              <w:spacing w:before="20" w:after="20"/>
            </w:pPr>
            <w:r/>
            <w:r>
              <w:rPr>
                <w:b/>
                <w:sz w:val="18"/>
              </w:rPr>
              <w:t>CER %</w:t>
            </w:r>
          </w:p>
        </w:tc>
      </w:tr>
      <w:tr>
        <w:trPr>
          <w:cantSplit/>
        </w:trPr>
        <w:tc>
          <w:tcPr>
            <w:tcW w:type="dxa" w:w="2304"/>
          </w:tcPr>
          <w:p>
            <w:pPr>
              <w:spacing w:before="20" w:after="20"/>
            </w:pPr>
            <w:r/>
            <w:r>
              <w:rPr>
                <w:b w:val="0"/>
                <w:sz w:val="18"/>
              </w:rPr>
              <w:t>1,500</w:t>
            </w:r>
          </w:p>
        </w:tc>
        <w:tc>
          <w:tcPr>
            <w:tcW w:type="dxa" w:w="1152"/>
          </w:tcPr>
          <w:p>
            <w:pPr>
              <w:spacing w:before="20" w:after="20"/>
              <w:jc w:val="right"/>
            </w:pPr>
            <w:r/>
            <w:r>
              <w:rPr>
                <w:b w:val="0"/>
                <w:sz w:val="18"/>
              </w:rPr>
              <w:t>0.72</w:t>
            </w:r>
          </w:p>
        </w:tc>
        <w:tc>
          <w:tcPr>
            <w:tcW w:type="dxa" w:w="1584"/>
          </w:tcPr>
          <w:p>
            <w:pPr>
              <w:spacing w:before="20" w:after="20"/>
              <w:jc w:val="right"/>
            </w:pPr>
            <w:r/>
            <w:r>
              <w:rPr>
                <w:b w:val="0"/>
                <w:sz w:val="18"/>
              </w:rPr>
              <w:t>0.4192</w:t>
            </w:r>
          </w:p>
        </w:tc>
        <w:tc>
          <w:tcPr>
            <w:tcW w:type="dxa" w:w="1584"/>
          </w:tcPr>
          <w:p>
            <w:pPr>
              <w:spacing w:before="20" w:after="20"/>
              <w:jc w:val="right"/>
            </w:pPr>
            <w:r/>
            <w:r>
              <w:rPr>
                <w:b w:val="0"/>
                <w:sz w:val="18"/>
              </w:rPr>
              <w:t>0.16152</w:t>
            </w:r>
          </w:p>
        </w:tc>
        <w:tc>
          <w:tcPr>
            <w:tcW w:type="dxa" w:w="1296"/>
          </w:tcPr>
          <w:p>
            <w:pPr>
              <w:spacing w:before="20" w:after="20"/>
              <w:jc w:val="right"/>
            </w:pPr>
            <w:r/>
            <w:r>
              <w:rPr>
                <w:b w:val="0"/>
                <w:sz w:val="18"/>
              </w:rPr>
              <w:t>16.30</w:t>
            </w:r>
          </w:p>
        </w:tc>
        <w:tc>
          <w:tcPr>
            <w:tcW w:type="dxa" w:w="1296"/>
          </w:tcPr>
          <w:p>
            <w:pPr>
              <w:spacing w:before="20" w:after="20"/>
              <w:jc w:val="right"/>
            </w:pPr>
            <w:r/>
            <w:r>
              <w:rPr>
                <w:b w:val="0"/>
                <w:sz w:val="18"/>
              </w:rPr>
              <w:t>4.77</w:t>
            </w:r>
          </w:p>
        </w:tc>
      </w:tr>
      <w:tr>
        <w:trPr>
          <w:cantSplit/>
        </w:trPr>
        <w:tc>
          <w:tcPr>
            <w:tcW w:type="dxa" w:w="2304"/>
          </w:tcPr>
          <w:p>
            <w:pPr>
              <w:spacing w:before="20" w:after="20"/>
            </w:pPr>
            <w:r/>
            <w:r>
              <w:rPr>
                <w:b w:val="0"/>
                <w:sz w:val="18"/>
              </w:rPr>
              <w:t>3,000</w:t>
            </w:r>
          </w:p>
        </w:tc>
        <w:tc>
          <w:tcPr>
            <w:tcW w:type="dxa" w:w="1152"/>
          </w:tcPr>
          <w:p>
            <w:pPr>
              <w:spacing w:before="20" w:after="20"/>
              <w:jc w:val="right"/>
            </w:pPr>
            <w:r/>
            <w:r>
              <w:rPr>
                <w:b w:val="0"/>
                <w:sz w:val="18"/>
              </w:rPr>
              <w:t>1.44</w:t>
            </w:r>
          </w:p>
        </w:tc>
        <w:tc>
          <w:tcPr>
            <w:tcW w:type="dxa" w:w="1584"/>
          </w:tcPr>
          <w:p>
            <w:pPr>
              <w:spacing w:before="20" w:after="20"/>
              <w:jc w:val="right"/>
            </w:pPr>
            <w:r/>
            <w:r>
              <w:rPr>
                <w:b w:val="0"/>
                <w:sz w:val="18"/>
              </w:rPr>
              <w:t>0.2081</w:t>
            </w:r>
          </w:p>
        </w:tc>
        <w:tc>
          <w:tcPr>
            <w:tcW w:type="dxa" w:w="1584"/>
          </w:tcPr>
          <w:p>
            <w:pPr>
              <w:spacing w:before="20" w:after="20"/>
              <w:jc w:val="right"/>
            </w:pPr>
            <w:r/>
            <w:r>
              <w:rPr>
                <w:b w:val="0"/>
                <w:sz w:val="18"/>
              </w:rPr>
              <w:t>0.12877</w:t>
            </w:r>
          </w:p>
        </w:tc>
        <w:tc>
          <w:tcPr>
            <w:tcW w:type="dxa" w:w="1296"/>
          </w:tcPr>
          <w:p>
            <w:pPr>
              <w:spacing w:before="20" w:after="20"/>
              <w:jc w:val="right"/>
            </w:pPr>
            <w:r/>
            <w:r>
              <w:rPr>
                <w:b w:val="0"/>
                <w:sz w:val="18"/>
              </w:rPr>
              <w:t>12.50</w:t>
            </w:r>
          </w:p>
        </w:tc>
        <w:tc>
          <w:tcPr>
            <w:tcW w:type="dxa" w:w="1296"/>
          </w:tcPr>
          <w:p>
            <w:pPr>
              <w:spacing w:before="20" w:after="20"/>
              <w:jc w:val="right"/>
            </w:pPr>
            <w:r/>
            <w:r>
              <w:rPr>
                <w:b w:val="0"/>
                <w:sz w:val="18"/>
              </w:rPr>
              <w:t>3.12</w:t>
            </w:r>
          </w:p>
        </w:tc>
      </w:tr>
      <w:tr>
        <w:trPr>
          <w:cantSplit/>
        </w:trPr>
        <w:tc>
          <w:tcPr>
            <w:tcW w:type="dxa" w:w="2304"/>
          </w:tcPr>
          <w:p>
            <w:pPr>
              <w:spacing w:before="20" w:after="20"/>
            </w:pPr>
            <w:r/>
            <w:r>
              <w:rPr>
                <w:b w:val="0"/>
                <w:sz w:val="18"/>
              </w:rPr>
              <w:t>4,500</w:t>
            </w:r>
          </w:p>
        </w:tc>
        <w:tc>
          <w:tcPr>
            <w:tcW w:type="dxa" w:w="1152"/>
          </w:tcPr>
          <w:p>
            <w:pPr>
              <w:spacing w:before="20" w:after="20"/>
              <w:jc w:val="right"/>
            </w:pPr>
            <w:r/>
            <w:r>
              <w:rPr>
                <w:b w:val="0"/>
                <w:sz w:val="18"/>
              </w:rPr>
              <w:t>2.15</w:t>
            </w:r>
          </w:p>
        </w:tc>
        <w:tc>
          <w:tcPr>
            <w:tcW w:type="dxa" w:w="1584"/>
          </w:tcPr>
          <w:p>
            <w:pPr>
              <w:spacing w:before="20" w:after="20"/>
              <w:jc w:val="right"/>
            </w:pPr>
            <w:r/>
            <w:r>
              <w:rPr>
                <w:b w:val="0"/>
                <w:sz w:val="18"/>
              </w:rPr>
              <w:t>0.1110</w:t>
            </w:r>
          </w:p>
        </w:tc>
        <w:tc>
          <w:tcPr>
            <w:tcW w:type="dxa" w:w="1584"/>
          </w:tcPr>
          <w:p>
            <w:pPr>
              <w:spacing w:before="20" w:after="20"/>
              <w:jc w:val="right"/>
            </w:pPr>
            <w:r/>
            <w:r>
              <w:rPr>
                <w:b w:val="0"/>
                <w:sz w:val="18"/>
              </w:rPr>
              <w:t>0.10067</w:t>
            </w:r>
          </w:p>
        </w:tc>
        <w:tc>
          <w:tcPr>
            <w:tcW w:type="dxa" w:w="1296"/>
          </w:tcPr>
          <w:p>
            <w:pPr>
              <w:spacing w:before="20" w:after="20"/>
              <w:jc w:val="right"/>
            </w:pPr>
            <w:r/>
            <w:r>
              <w:rPr>
                <w:b w:val="0"/>
                <w:sz w:val="18"/>
              </w:rPr>
              <w:t>9.57</w:t>
            </w:r>
          </w:p>
        </w:tc>
        <w:tc>
          <w:tcPr>
            <w:tcW w:type="dxa" w:w="1296"/>
          </w:tcPr>
          <w:p>
            <w:pPr>
              <w:spacing w:before="20" w:after="20"/>
              <w:jc w:val="right"/>
            </w:pPr>
            <w:r/>
            <w:r>
              <w:rPr>
                <w:b w:val="0"/>
                <w:sz w:val="18"/>
              </w:rPr>
              <w:t>2.28</w:t>
            </w:r>
          </w:p>
        </w:tc>
      </w:tr>
      <w:tr>
        <w:trPr>
          <w:cantSplit/>
        </w:trPr>
        <w:tc>
          <w:tcPr>
            <w:tcW w:type="dxa" w:w="2304"/>
          </w:tcPr>
          <w:p>
            <w:pPr>
              <w:spacing w:before="20" w:after="20"/>
            </w:pPr>
            <w:r/>
            <w:r>
              <w:rPr>
                <w:b w:val="0"/>
                <w:sz w:val="18"/>
              </w:rPr>
              <w:t>6,000</w:t>
            </w:r>
          </w:p>
        </w:tc>
        <w:tc>
          <w:tcPr>
            <w:tcW w:type="dxa" w:w="1152"/>
          </w:tcPr>
          <w:p>
            <w:pPr>
              <w:spacing w:before="20" w:after="20"/>
              <w:jc w:val="right"/>
            </w:pPr>
            <w:r/>
            <w:r>
              <w:rPr>
                <w:b w:val="0"/>
                <w:sz w:val="18"/>
              </w:rPr>
              <w:t>2.87</w:t>
            </w:r>
          </w:p>
        </w:tc>
        <w:tc>
          <w:tcPr>
            <w:tcW w:type="dxa" w:w="1584"/>
          </w:tcPr>
          <w:p>
            <w:pPr>
              <w:spacing w:before="20" w:after="20"/>
              <w:jc w:val="right"/>
            </w:pPr>
            <w:r/>
            <w:r>
              <w:rPr>
                <w:b w:val="0"/>
                <w:sz w:val="18"/>
              </w:rPr>
              <w:t>0.0779</w:t>
            </w:r>
          </w:p>
        </w:tc>
        <w:tc>
          <w:tcPr>
            <w:tcW w:type="dxa" w:w="1584"/>
          </w:tcPr>
          <w:p>
            <w:pPr>
              <w:spacing w:before="20" w:after="20"/>
              <w:jc w:val="right"/>
            </w:pPr>
            <w:r/>
            <w:r>
              <w:rPr>
                <w:b w:val="0"/>
                <w:sz w:val="18"/>
              </w:rPr>
              <w:t>0.08704</w:t>
            </w:r>
          </w:p>
        </w:tc>
        <w:tc>
          <w:tcPr>
            <w:tcW w:type="dxa" w:w="1296"/>
          </w:tcPr>
          <w:p>
            <w:pPr>
              <w:spacing w:before="20" w:after="20"/>
              <w:jc w:val="right"/>
            </w:pPr>
            <w:r/>
            <w:r>
              <w:rPr>
                <w:b w:val="0"/>
                <w:sz w:val="18"/>
              </w:rPr>
              <w:t>8.19</w:t>
            </w:r>
          </w:p>
        </w:tc>
        <w:tc>
          <w:tcPr>
            <w:tcW w:type="dxa" w:w="1296"/>
          </w:tcPr>
          <w:p>
            <w:pPr>
              <w:spacing w:before="20" w:after="20"/>
              <w:jc w:val="right"/>
            </w:pPr>
            <w:r/>
            <w:r>
              <w:rPr>
                <w:b w:val="0"/>
                <w:sz w:val="18"/>
              </w:rPr>
              <w:t>1.94</w:t>
            </w:r>
          </w:p>
        </w:tc>
      </w:tr>
      <w:tr>
        <w:trPr>
          <w:cantSplit/>
        </w:trPr>
        <w:tc>
          <w:tcPr>
            <w:tcW w:type="dxa" w:w="2304"/>
          </w:tcPr>
          <w:p>
            <w:pPr>
              <w:spacing w:before="20" w:after="20"/>
            </w:pPr>
            <w:r/>
            <w:r>
              <w:rPr>
                <w:b w:val="0"/>
                <w:sz w:val="18"/>
              </w:rPr>
              <w:t>6,270</w:t>
            </w:r>
          </w:p>
        </w:tc>
        <w:tc>
          <w:tcPr>
            <w:tcW w:type="dxa" w:w="1152"/>
          </w:tcPr>
          <w:p>
            <w:pPr>
              <w:spacing w:before="20" w:after="20"/>
              <w:jc w:val="right"/>
            </w:pPr>
            <w:r/>
            <w:r>
              <w:rPr>
                <w:b w:val="0"/>
                <w:sz w:val="18"/>
              </w:rPr>
              <w:t>3.00</w:t>
            </w:r>
          </w:p>
        </w:tc>
        <w:tc>
          <w:tcPr>
            <w:tcW w:type="dxa" w:w="1584"/>
          </w:tcPr>
          <w:p>
            <w:pPr>
              <w:spacing w:before="20" w:after="20"/>
              <w:jc w:val="right"/>
            </w:pPr>
            <w:r/>
            <w:r>
              <w:rPr>
                <w:b w:val="0"/>
                <w:sz w:val="18"/>
              </w:rPr>
              <w:t>0.0678</w:t>
            </w:r>
          </w:p>
        </w:tc>
        <w:tc>
          <w:tcPr>
            <w:tcW w:type="dxa" w:w="1584"/>
          </w:tcPr>
          <w:p>
            <w:pPr>
              <w:spacing w:before="20" w:after="20"/>
              <w:jc w:val="right"/>
            </w:pPr>
            <w:r/>
            <w:r>
              <w:rPr>
                <w:b w:val="0"/>
                <w:sz w:val="18"/>
              </w:rPr>
              <w:t>0.08567</w:t>
            </w:r>
          </w:p>
        </w:tc>
        <w:tc>
          <w:tcPr>
            <w:tcW w:type="dxa" w:w="1296"/>
          </w:tcPr>
          <w:p>
            <w:pPr>
              <w:spacing w:before="20" w:after="20"/>
              <w:jc w:val="right"/>
            </w:pPr>
            <w:r/>
            <w:r>
              <w:rPr>
                <w:b w:val="0"/>
                <w:sz w:val="18"/>
              </w:rPr>
              <w:t>8.17</w:t>
            </w:r>
          </w:p>
        </w:tc>
        <w:tc>
          <w:tcPr>
            <w:tcW w:type="dxa" w:w="1296"/>
          </w:tcPr>
          <w:p>
            <w:pPr>
              <w:spacing w:before="20" w:after="20"/>
              <w:jc w:val="right"/>
            </w:pPr>
            <w:r/>
            <w:r>
              <w:rPr>
                <w:b w:val="0"/>
                <w:sz w:val="18"/>
              </w:rPr>
              <w:t>1.90</w:t>
            </w:r>
          </w:p>
        </w:tc>
      </w:tr>
      <w:tr>
        <w:trPr>
          <w:cantSplit/>
        </w:trPr>
        <w:tc>
          <w:tcPr>
            <w:tcW w:type="dxa" w:w="2304"/>
          </w:tcPr>
          <w:p>
            <w:pPr>
              <w:spacing w:before="20" w:after="20"/>
            </w:pPr>
            <w:r/>
            <w:r>
              <w:rPr>
                <w:b/>
                <w:sz w:val="18"/>
              </w:rPr>
              <w:t>final, all 5,900 rows</w:t>
            </w:r>
          </w:p>
        </w:tc>
        <w:tc>
          <w:tcPr>
            <w:tcW w:type="dxa" w:w="1152"/>
          </w:tcPr>
          <w:p>
            <w:pPr>
              <w:spacing w:before="20" w:after="20"/>
              <w:jc w:val="right"/>
            </w:pPr>
            <w:r/>
            <w:r>
              <w:rPr>
                <w:b/>
                <w:sz w:val="18"/>
              </w:rPr>
              <w:t>3.00</w:t>
            </w:r>
          </w:p>
        </w:tc>
        <w:tc>
          <w:tcPr>
            <w:tcW w:type="dxa" w:w="1584"/>
          </w:tcPr>
          <w:p>
            <w:pPr>
              <w:spacing w:before="20" w:after="20"/>
              <w:jc w:val="right"/>
            </w:pPr>
            <w:r/>
            <w:r>
              <w:rPr>
                <w:b/>
                <w:sz w:val="18"/>
              </w:rPr>
              <w:t>—</w:t>
            </w:r>
          </w:p>
        </w:tc>
        <w:tc>
          <w:tcPr>
            <w:tcW w:type="dxa" w:w="1584"/>
          </w:tcPr>
          <w:p>
            <w:pPr>
              <w:spacing w:before="20" w:after="20"/>
              <w:jc w:val="right"/>
            </w:pPr>
            <w:r/>
            <w:r>
              <w:rPr>
                <w:b/>
                <w:sz w:val="18"/>
              </w:rPr>
              <w:t>0.08627</w:t>
            </w:r>
          </w:p>
        </w:tc>
        <w:tc>
          <w:tcPr>
            <w:tcW w:type="dxa" w:w="1296"/>
          </w:tcPr>
          <w:p>
            <w:pPr>
              <w:spacing w:before="20" w:after="20"/>
              <w:jc w:val="right"/>
            </w:pPr>
            <w:r/>
            <w:r>
              <w:rPr>
                <w:b/>
                <w:sz w:val="18"/>
              </w:rPr>
              <w:t>8.05</w:t>
            </w:r>
          </w:p>
        </w:tc>
        <w:tc>
          <w:tcPr>
            <w:tcW w:type="dxa" w:w="1296"/>
          </w:tcPr>
          <w:p>
            <w:pPr>
              <w:spacing w:before="20" w:after="20"/>
              <w:jc w:val="right"/>
            </w:pPr>
            <w:r/>
            <w:r>
              <w:rPr>
                <w:b/>
                <w:sz w:val="18"/>
              </w:rPr>
              <w:t>2.00</w:t>
            </w:r>
          </w:p>
        </w:tc>
      </w:tr>
    </w:tbl>
    <w:p>
      <w:pPr>
        <w:spacing w:after="20"/>
      </w:pPr>
    </w:p>
    <w:tbl>
      <w:tblPr>
        <w:tblStyle w:val="TableGrid"/>
        <w:jc w:val="center"/>
        <w:tblLayout w:type="fixed"/>
        <w:tblLook w:firstColumn="1" w:firstRow="1" w:lastColumn="0" w:lastRow="0" w:noHBand="0" w:noVBand="1" w:val="04A0"/>
        <w:tblW w:w="8928" w:type="dxa"/>
      </w:tblPr>
      <w:tblGrid>
        <w:gridCol w:w="2365"/>
        <w:gridCol w:w="2365"/>
        <w:gridCol w:w="2365"/>
        <w:gridCol w:w="2365"/>
      </w:tblGrid>
      <w:tr>
        <w:trPr>
          <w:tblHeader w:val="true"/>
        </w:trPr>
        <w:tc>
          <w:tcPr>
            <w:tcW w:type="dxa" w:w="2304"/>
            <w:shd w:val="clear" w:fill="DCE6F1"/>
          </w:tcPr>
          <w:p>
            <w:pPr>
              <w:spacing w:before="20" w:after="20"/>
            </w:pPr>
            <w:r/>
            <w:r>
              <w:rPr>
                <w:b/>
                <w:sz w:val="18"/>
              </w:rPr>
            </w:r>
          </w:p>
        </w:tc>
        <w:tc>
          <w:tcPr>
            <w:tcW w:type="dxa" w:w="2304"/>
            <w:shd w:val="clear" w:fill="DCE6F1"/>
          </w:tcPr>
          <w:p>
            <w:pPr>
              <w:spacing w:before="20" w:after="20"/>
            </w:pPr>
            <w:r/>
            <w:r>
              <w:rPr>
                <w:b/>
                <w:sz w:val="18"/>
              </w:rPr>
              <w:t>First evaluation</w:t>
            </w:r>
          </w:p>
        </w:tc>
        <w:tc>
          <w:tcPr>
            <w:tcW w:type="dxa" w:w="2304"/>
            <w:shd w:val="clear" w:fill="DCE6F1"/>
          </w:tcPr>
          <w:p>
            <w:pPr>
              <w:spacing w:before="20" w:after="20"/>
            </w:pPr>
            <w:r/>
            <w:r>
              <w:rPr>
                <w:b/>
                <w:sz w:val="18"/>
              </w:rPr>
              <w:t>Last evaluation</w:t>
            </w:r>
          </w:p>
        </w:tc>
        <w:tc>
          <w:tcPr>
            <w:tcW w:type="dxa" w:w="2016"/>
            <w:shd w:val="clear" w:fill="DCE6F1"/>
          </w:tcPr>
          <w:p>
            <w:pPr>
              <w:spacing w:before="20" w:after="20"/>
            </w:pPr>
            <w:r/>
            <w:r>
              <w:rPr>
                <w:b/>
                <w:sz w:val="18"/>
              </w:rPr>
              <w:t>Reduction</w:t>
            </w:r>
          </w:p>
        </w:tc>
      </w:tr>
      <w:tr>
        <w:trPr>
          <w:cantSplit/>
        </w:trPr>
        <w:tc>
          <w:tcPr>
            <w:tcW w:type="dxa" w:w="2304"/>
          </w:tcPr>
          <w:p>
            <w:pPr>
              <w:spacing w:before="20" w:after="20"/>
            </w:pPr>
            <w:r/>
            <w:r>
              <w:rPr>
                <w:b w:val="0"/>
                <w:sz w:val="18"/>
              </w:rPr>
              <w:t>Validation loss</w:t>
            </w:r>
          </w:p>
        </w:tc>
        <w:tc>
          <w:tcPr>
            <w:tcW w:type="dxa" w:w="2304"/>
          </w:tcPr>
          <w:p>
            <w:pPr>
              <w:spacing w:before="20" w:after="20"/>
              <w:jc w:val="right"/>
            </w:pPr>
            <w:r/>
            <w:r>
              <w:rPr>
                <w:b w:val="0"/>
                <w:sz w:val="18"/>
              </w:rPr>
              <w:t>0.16152</w:t>
            </w:r>
          </w:p>
        </w:tc>
        <w:tc>
          <w:tcPr>
            <w:tcW w:type="dxa" w:w="2304"/>
          </w:tcPr>
          <w:p>
            <w:pPr>
              <w:spacing w:before="20" w:after="20"/>
              <w:jc w:val="right"/>
            </w:pPr>
            <w:r/>
            <w:r>
              <w:rPr>
                <w:b w:val="0"/>
                <w:sz w:val="18"/>
              </w:rPr>
              <w:t>0.08567</w:t>
            </w:r>
          </w:p>
        </w:tc>
        <w:tc>
          <w:tcPr>
            <w:tcW w:type="dxa" w:w="2016"/>
          </w:tcPr>
          <w:p>
            <w:pPr>
              <w:spacing w:before="20" w:after="20"/>
              <w:jc w:val="right"/>
            </w:pPr>
            <w:r/>
            <w:r>
              <w:rPr>
                <w:b w:val="0"/>
                <w:sz w:val="18"/>
              </w:rPr>
              <w:t>47.0%</w:t>
            </w:r>
          </w:p>
        </w:tc>
      </w:tr>
      <w:tr>
        <w:trPr>
          <w:cantSplit/>
        </w:trPr>
        <w:tc>
          <w:tcPr>
            <w:tcW w:type="dxa" w:w="2304"/>
          </w:tcPr>
          <w:p>
            <w:pPr>
              <w:spacing w:before="20" w:after="20"/>
            </w:pPr>
            <w:r/>
            <w:r>
              <w:rPr>
                <w:b w:val="0"/>
                <w:sz w:val="18"/>
              </w:rPr>
              <w:t>WER</w:t>
            </w:r>
          </w:p>
        </w:tc>
        <w:tc>
          <w:tcPr>
            <w:tcW w:type="dxa" w:w="2304"/>
          </w:tcPr>
          <w:p>
            <w:pPr>
              <w:spacing w:before="20" w:after="20"/>
              <w:jc w:val="right"/>
            </w:pPr>
            <w:r/>
            <w:r>
              <w:rPr>
                <w:b w:val="0"/>
                <w:sz w:val="18"/>
              </w:rPr>
              <w:t>16.30%</w:t>
            </w:r>
          </w:p>
        </w:tc>
        <w:tc>
          <w:tcPr>
            <w:tcW w:type="dxa" w:w="2304"/>
          </w:tcPr>
          <w:p>
            <w:pPr>
              <w:spacing w:before="20" w:after="20"/>
              <w:jc w:val="right"/>
            </w:pPr>
            <w:r/>
            <w:r>
              <w:rPr>
                <w:b w:val="0"/>
                <w:sz w:val="18"/>
              </w:rPr>
              <w:t>8.17%</w:t>
            </w:r>
          </w:p>
        </w:tc>
        <w:tc>
          <w:tcPr>
            <w:tcW w:type="dxa" w:w="2016"/>
          </w:tcPr>
          <w:p>
            <w:pPr>
              <w:spacing w:before="20" w:after="20"/>
              <w:jc w:val="right"/>
            </w:pPr>
            <w:r/>
            <w:r>
              <w:rPr>
                <w:b w:val="0"/>
                <w:sz w:val="18"/>
              </w:rPr>
              <w:t>49.9%</w:t>
            </w:r>
          </w:p>
        </w:tc>
      </w:tr>
      <w:tr>
        <w:trPr>
          <w:cantSplit/>
        </w:trPr>
        <w:tc>
          <w:tcPr>
            <w:tcW w:type="dxa" w:w="2304"/>
          </w:tcPr>
          <w:p>
            <w:pPr>
              <w:spacing w:before="20" w:after="20"/>
            </w:pPr>
            <w:r/>
            <w:r>
              <w:rPr>
                <w:b w:val="0"/>
                <w:sz w:val="18"/>
              </w:rPr>
              <w:t>CER</w:t>
            </w:r>
          </w:p>
        </w:tc>
        <w:tc>
          <w:tcPr>
            <w:tcW w:type="dxa" w:w="2304"/>
          </w:tcPr>
          <w:p>
            <w:pPr>
              <w:spacing w:before="20" w:after="20"/>
              <w:jc w:val="right"/>
            </w:pPr>
            <w:r/>
            <w:r>
              <w:rPr>
                <w:b w:val="0"/>
                <w:sz w:val="18"/>
              </w:rPr>
              <w:t>4.77%</w:t>
            </w:r>
          </w:p>
        </w:tc>
        <w:tc>
          <w:tcPr>
            <w:tcW w:type="dxa" w:w="2304"/>
          </w:tcPr>
          <w:p>
            <w:pPr>
              <w:spacing w:before="20" w:after="20"/>
              <w:jc w:val="right"/>
            </w:pPr>
            <w:r/>
            <w:r>
              <w:rPr>
                <w:b w:val="0"/>
                <w:sz w:val="18"/>
              </w:rPr>
              <w:t>1.90%</w:t>
            </w:r>
          </w:p>
        </w:tc>
        <w:tc>
          <w:tcPr>
            <w:tcW w:type="dxa" w:w="2016"/>
          </w:tcPr>
          <w:p>
            <w:pPr>
              <w:spacing w:before="20" w:after="20"/>
              <w:jc w:val="right"/>
            </w:pPr>
            <w:r/>
            <w:r>
              <w:rPr>
                <w:b w:val="0"/>
                <w:sz w:val="18"/>
              </w:rPr>
              <w:t>60.2%</w:t>
            </w:r>
          </w:p>
        </w:tc>
      </w:tr>
    </w:tbl>
    <w:p>
      <w:pPr>
        <w:spacing w:after="20"/>
      </w:pPr>
    </w:p>
    <w:p>
      <w:r>
        <w:rPr>
          <w:i w:val="0"/>
        </w:rPr>
        <w:t>The training-loss column is a single logged value, and single values are noisy — each is the mean over 10 steps, or 160 samples. At step 1,500 the logged value is 0.4192 while the mean of the ten surrounding points is 0.3563. Figure 1 carries a moving average for that reason.</w:t>
      </w:r>
    </w:p>
    <w:p>
      <w:pPr>
        <w:pStyle w:val="Heading1"/>
      </w:pPr>
      <w:r>
        <w:t>3. Loss</w:t>
      </w:r>
    </w:p>
    <w:p>
      <w:pPr>
        <w:spacing w:after="40"/>
        <w:jc w:val="center"/>
      </w:pPr>
      <w:r>
        <w:drawing>
          <wp:inline xmlns:a="http://schemas.openxmlformats.org/drawingml/2006/main" xmlns:pic="http://schemas.openxmlformats.org/drawingml/2006/picture">
            <wp:extent cx="4315968" cy="2084831"/>
            <wp:docPr id="1" name="Picture 1"/>
            <wp:cNvGraphicFramePr>
              <a:graphicFrameLocks noChangeAspect="1"/>
            </wp:cNvGraphicFramePr>
            <a:graphic>
              <a:graphicData uri="http://schemas.openxmlformats.org/drawingml/2006/picture">
                <pic:pic>
                  <pic:nvPicPr>
                    <pic:cNvPr id="0" name="fig1_loss.png"/>
                    <pic:cNvPicPr/>
                  </pic:nvPicPr>
                  <pic:blipFill>
                    <a:blip r:embed="rId9"/>
                    <a:stretch>
                      <a:fillRect/>
                    </a:stretch>
                  </pic:blipFill>
                  <pic:spPr>
                    <a:xfrm>
                      <a:off x="0" y="0"/>
                      <a:ext cx="4315968" cy="2084831"/>
                    </a:xfrm>
                    <a:prstGeom prst="rect"/>
                  </pic:spPr>
                </pic:pic>
              </a:graphicData>
            </a:graphic>
          </wp:inline>
        </w:drawing>
      </w:r>
    </w:p>
    <w:p>
      <w:pPr>
        <w:spacing w:after="180"/>
        <w:jc w:val="center"/>
      </w:pPr>
      <w:r>
        <w:rPr>
          <w:i/>
          <w:color w:val="595959"/>
          <w:sz w:val="17"/>
        </w:rPr>
        <w:t>Figure 1 — Training and validation loss. Dotted lines mark the epoch boundaries.</w:t>
      </w:r>
    </w:p>
    <w:p>
      <w:r>
        <w:rPr>
          <w:i w:val="0"/>
        </w:rPr>
        <w:t>Training loss fell from 1.1888 to 0.0678. Nearly two thirds of that drop happens within the first thirty steps, before the learning rate has finished warming up, and the curve then sits between 0.43 and 0.51 for the next several hundred steps with no trend at all. Validation loss fell at every measurement and never rose.</w:t>
      </w:r>
    </w:p>
    <w:p>
      <w:pPr>
        <w:pStyle w:val="Heading2"/>
      </w:pPr>
      <w:r>
        <w:t>The steps at the epoch boundaries</w:t>
      </w:r>
    </w:p>
    <w:p>
      <w:pPr>
        <w:spacing w:after="80"/>
      </w:pPr>
      <w:r>
        <w:rPr>
          <w:i w:val="0"/>
        </w:rPr>
        <w:t>Training loss does not decline evenly. It steps down where each epoch ends. Averaging the 200 steps either side separates that step from the within-epoch trend:</w:t>
      </w:r>
    </w:p>
    <w:tbl>
      <w:tblPr>
        <w:tblStyle w:val="TableGrid"/>
        <w:jc w:val="center"/>
        <w:tblLayout w:type="fixed"/>
        <w:tblLook w:firstColumn="1" w:firstRow="1" w:lastColumn="0" w:lastRow="0" w:noHBand="0" w:noVBand="1" w:val="04A0"/>
        <w:tblW w:w="9504" w:type="dxa"/>
      </w:tblPr>
      <w:tblGrid>
        <w:gridCol w:w="3154"/>
        <w:gridCol w:w="3154"/>
        <w:gridCol w:w="3154"/>
      </w:tblGrid>
      <w:tr>
        <w:trPr>
          <w:tblHeader w:val="true"/>
        </w:trPr>
        <w:tc>
          <w:tcPr>
            <w:tcW w:type="dxa" w:w="2736"/>
            <w:shd w:val="clear" w:fill="DCE6F1"/>
          </w:tcPr>
          <w:p>
            <w:pPr>
              <w:spacing w:before="20" w:after="20"/>
            </w:pPr>
            <w:r/>
            <w:r>
              <w:rPr>
                <w:b/>
                <w:sz w:val="18"/>
              </w:rPr>
            </w:r>
          </w:p>
        </w:tc>
        <w:tc>
          <w:tcPr>
            <w:tcW w:type="dxa" w:w="3312"/>
            <w:shd w:val="clear" w:fill="DCE6F1"/>
          </w:tcPr>
          <w:p>
            <w:pPr>
              <w:spacing w:before="20" w:after="20"/>
            </w:pPr>
            <w:r/>
            <w:r>
              <w:rPr>
                <w:b/>
                <w:sz w:val="18"/>
              </w:rPr>
              <w:t>Decline within the epoch</w:t>
            </w:r>
          </w:p>
        </w:tc>
        <w:tc>
          <w:tcPr>
            <w:tcW w:type="dxa" w:w="3456"/>
            <w:shd w:val="clear" w:fill="DCE6F1"/>
          </w:tcPr>
          <w:p>
            <w:pPr>
              <w:spacing w:before="20" w:after="20"/>
            </w:pPr>
            <w:r/>
            <w:r>
              <w:rPr>
                <w:b/>
                <w:sz w:val="18"/>
              </w:rPr>
              <w:t>Step at the boundary that follows</w:t>
            </w:r>
          </w:p>
        </w:tc>
      </w:tr>
      <w:tr>
        <w:trPr>
          <w:cantSplit/>
        </w:trPr>
        <w:tc>
          <w:tcPr>
            <w:tcW w:type="dxa" w:w="2736"/>
          </w:tcPr>
          <w:p>
            <w:pPr>
              <w:spacing w:before="20" w:after="20"/>
            </w:pPr>
            <w:r/>
            <w:r>
              <w:rPr>
                <w:b w:val="0"/>
                <w:sz w:val="18"/>
              </w:rPr>
              <w:t>Epoch 1  (steps 1–2,090)</w:t>
            </w:r>
          </w:p>
        </w:tc>
        <w:tc>
          <w:tcPr>
            <w:tcW w:type="dxa" w:w="3312"/>
          </w:tcPr>
          <w:p>
            <w:pPr>
              <w:spacing w:before="20" w:after="20"/>
            </w:pPr>
            <w:r/>
            <w:r>
              <w:rPr>
                <w:b w:val="0"/>
                <w:sz w:val="18"/>
              </w:rPr>
              <w:t>0.5294 → 0.3115   (−0.2179)</w:t>
            </w:r>
          </w:p>
        </w:tc>
        <w:tc>
          <w:tcPr>
            <w:tcW w:type="dxa" w:w="3456"/>
          </w:tcPr>
          <w:p>
            <w:pPr>
              <w:spacing w:before="20" w:after="20"/>
            </w:pPr>
            <w:r/>
            <w:r>
              <w:rPr>
                <w:b w:val="0"/>
                <w:sz w:val="18"/>
              </w:rPr>
              <w:t>0.3115 → 0.2384   (−0.0731)</w:t>
            </w:r>
          </w:p>
        </w:tc>
      </w:tr>
      <w:tr>
        <w:trPr>
          <w:cantSplit/>
        </w:trPr>
        <w:tc>
          <w:tcPr>
            <w:tcW w:type="dxa" w:w="2736"/>
          </w:tcPr>
          <w:p>
            <w:pPr>
              <w:spacing w:before="20" w:after="20"/>
            </w:pPr>
            <w:r/>
            <w:r>
              <w:rPr>
                <w:b w:val="0"/>
                <w:sz w:val="18"/>
              </w:rPr>
              <w:t>Epoch 2  (steps 2,091–4,180)</w:t>
            </w:r>
          </w:p>
        </w:tc>
        <w:tc>
          <w:tcPr>
            <w:tcW w:type="dxa" w:w="3312"/>
          </w:tcPr>
          <w:p>
            <w:pPr>
              <w:spacing w:before="20" w:after="20"/>
            </w:pPr>
            <w:r/>
            <w:r>
              <w:rPr>
                <w:b w:val="0"/>
                <w:sz w:val="18"/>
              </w:rPr>
              <w:t>0.2384 → 0.1863   (−0.0521)</w:t>
            </w:r>
          </w:p>
        </w:tc>
        <w:tc>
          <w:tcPr>
            <w:tcW w:type="dxa" w:w="3456"/>
          </w:tcPr>
          <w:p>
            <w:pPr>
              <w:spacing w:before="20" w:after="20"/>
            </w:pPr>
            <w:r/>
            <w:r>
              <w:rPr>
                <w:b w:val="0"/>
                <w:sz w:val="18"/>
              </w:rPr>
              <w:t>0.1863 → 0.1050   (−0.0813)</w:t>
            </w:r>
          </w:p>
        </w:tc>
      </w:tr>
      <w:tr>
        <w:trPr>
          <w:cantSplit/>
        </w:trPr>
        <w:tc>
          <w:tcPr>
            <w:tcW w:type="dxa" w:w="2736"/>
          </w:tcPr>
          <w:p>
            <w:pPr>
              <w:spacing w:before="20" w:after="20"/>
            </w:pPr>
            <w:r/>
            <w:r>
              <w:rPr>
                <w:b w:val="0"/>
                <w:sz w:val="18"/>
              </w:rPr>
              <w:t>Epoch 3  (steps 4,181–6,270)</w:t>
            </w:r>
          </w:p>
        </w:tc>
        <w:tc>
          <w:tcPr>
            <w:tcW w:type="dxa" w:w="3312"/>
          </w:tcPr>
          <w:p>
            <w:pPr>
              <w:spacing w:before="20" w:after="20"/>
            </w:pPr>
            <w:r/>
            <w:r>
              <w:rPr>
                <w:b w:val="0"/>
                <w:sz w:val="18"/>
              </w:rPr>
              <w:t>0.1050 → 0.0748   (−0.0302)</w:t>
            </w:r>
          </w:p>
        </w:tc>
        <w:tc>
          <w:tcPr>
            <w:tcW w:type="dxa" w:w="3456"/>
          </w:tcPr>
          <w:p>
            <w:pPr>
              <w:spacing w:before="20" w:after="20"/>
            </w:pPr>
            <w:r/>
            <w:r>
              <w:rPr>
                <w:b w:val="0"/>
                <w:sz w:val="18"/>
              </w:rPr>
              <w:t>—</w:t>
            </w:r>
          </w:p>
        </w:tc>
      </w:tr>
    </w:tbl>
    <w:p>
      <w:pPr>
        <w:spacing w:after="20"/>
      </w:pPr>
    </w:p>
    <w:p>
      <w:r>
        <w:rPr>
          <w:i w:val="0"/>
        </w:rPr>
        <w:t>From the second epoch onward the drop at the instant of crossing a boundary is larger than the entire decline across the epoch that follows: −0.0813 at the boundary against −0.0302 over the whole of epoch 3. Across the run, 34% of the total training-loss reduction happens at two instants; excluding the first epoch as initial adaptation, the boundaries account for 65% of everything after it.</w:t>
      </w:r>
    </w:p>
    <w:p>
      <w:r>
        <w:rPr>
          <w:i w:val="0"/>
        </w:rPr>
        <w:t>Nothing about the optimiser changes at an epoch boundary — the learning rate decays linearly straight through it. The only thing that changes is that the model starts seeing examples it has already seen, so a step down at exactly that point means the improvement comes from re-exposure rather than from continued generalisation. Validation loss has no steps anywhere; it falls smoothly and decelerates. Those two facts together locate where the remaining training-loss reduction was going by the third epoch.</w:t>
      </w:r>
    </w:p>
    <w:p>
      <w:pPr>
        <w:pStyle w:val="Heading2"/>
      </w:pPr>
      <w:r>
        <w:t>Where the curves cross</w:t>
      </w:r>
    </w:p>
    <w:tbl>
      <w:tblPr>
        <w:tblStyle w:val="TableGrid"/>
        <w:jc w:val="center"/>
        <w:tblLayout w:type="fixed"/>
        <w:tblLook w:firstColumn="1" w:firstRow="1" w:lastColumn="0" w:lastRow="0" w:noHBand="0" w:noVBand="1" w:val="04A0"/>
        <w:tblW w:w="7632" w:type="dxa"/>
      </w:tblPr>
      <w:tblGrid>
        <w:gridCol w:w="2365"/>
        <w:gridCol w:w="2365"/>
        <w:gridCol w:w="2365"/>
        <w:gridCol w:w="2365"/>
      </w:tblGrid>
      <w:tr>
        <w:trPr>
          <w:tblHeader w:val="true"/>
        </w:trPr>
        <w:tc>
          <w:tcPr>
            <w:tcW w:type="dxa" w:w="1296"/>
            <w:shd w:val="clear" w:fill="DCE6F1"/>
          </w:tcPr>
          <w:p>
            <w:pPr>
              <w:spacing w:before="20" w:after="20"/>
            </w:pPr>
            <w:r/>
            <w:r>
              <w:rPr>
                <w:b/>
                <w:sz w:val="18"/>
              </w:rPr>
              <w:t>Step</w:t>
            </w:r>
          </w:p>
        </w:tc>
        <w:tc>
          <w:tcPr>
            <w:tcW w:type="dxa" w:w="1728"/>
            <w:shd w:val="clear" w:fill="DCE6F1"/>
          </w:tcPr>
          <w:p>
            <w:pPr>
              <w:spacing w:before="20" w:after="20"/>
            </w:pPr>
            <w:r/>
            <w:r>
              <w:rPr>
                <w:b/>
                <w:sz w:val="18"/>
              </w:rPr>
              <w:t>Training</w:t>
            </w:r>
          </w:p>
        </w:tc>
        <w:tc>
          <w:tcPr>
            <w:tcW w:type="dxa" w:w="1728"/>
            <w:shd w:val="clear" w:fill="DCE6F1"/>
          </w:tcPr>
          <w:p>
            <w:pPr>
              <w:spacing w:before="20" w:after="20"/>
            </w:pPr>
            <w:r/>
            <w:r>
              <w:rPr>
                <w:b/>
                <w:sz w:val="18"/>
              </w:rPr>
              <w:t>Validation</w:t>
            </w:r>
          </w:p>
        </w:tc>
        <w:tc>
          <w:tcPr>
            <w:tcW w:type="dxa" w:w="2880"/>
            <w:shd w:val="clear" w:fill="DCE6F1"/>
          </w:tcPr>
          <w:p>
            <w:pPr>
              <w:spacing w:before="20" w:after="20"/>
            </w:pPr>
            <w:r/>
            <w:r>
              <w:rPr>
                <w:b/>
                <w:sz w:val="18"/>
              </w:rPr>
              <w:t>Which is lower</w:t>
            </w:r>
          </w:p>
        </w:tc>
      </w:tr>
      <w:tr>
        <w:trPr>
          <w:cantSplit/>
        </w:trPr>
        <w:tc>
          <w:tcPr>
            <w:tcW w:type="dxa" w:w="1296"/>
          </w:tcPr>
          <w:p>
            <w:pPr>
              <w:spacing w:before="20" w:after="20"/>
            </w:pPr>
            <w:r/>
            <w:r>
              <w:rPr>
                <w:b w:val="0"/>
                <w:sz w:val="18"/>
              </w:rPr>
              <w:t>1,500</w:t>
            </w:r>
          </w:p>
        </w:tc>
        <w:tc>
          <w:tcPr>
            <w:tcW w:type="dxa" w:w="1728"/>
          </w:tcPr>
          <w:p>
            <w:pPr>
              <w:spacing w:before="20" w:after="20"/>
              <w:jc w:val="right"/>
            </w:pPr>
            <w:r/>
            <w:r>
              <w:rPr>
                <w:b w:val="0"/>
                <w:sz w:val="18"/>
              </w:rPr>
              <w:t>0.4192</w:t>
            </w:r>
          </w:p>
        </w:tc>
        <w:tc>
          <w:tcPr>
            <w:tcW w:type="dxa" w:w="1728"/>
          </w:tcPr>
          <w:p>
            <w:pPr>
              <w:spacing w:before="20" w:after="20"/>
              <w:jc w:val="right"/>
            </w:pPr>
            <w:r/>
            <w:r>
              <w:rPr>
                <w:b w:val="0"/>
                <w:sz w:val="18"/>
              </w:rPr>
              <w:t>0.16152</w:t>
            </w:r>
          </w:p>
        </w:tc>
        <w:tc>
          <w:tcPr>
            <w:tcW w:type="dxa" w:w="2880"/>
          </w:tcPr>
          <w:p>
            <w:pPr>
              <w:spacing w:before="20" w:after="20"/>
            </w:pPr>
            <w:r/>
            <w:r>
              <w:rPr>
                <w:b w:val="0"/>
                <w:sz w:val="18"/>
              </w:rPr>
              <w:t>validation, by 0.258</w:t>
            </w:r>
          </w:p>
        </w:tc>
      </w:tr>
      <w:tr>
        <w:trPr>
          <w:cantSplit/>
        </w:trPr>
        <w:tc>
          <w:tcPr>
            <w:tcW w:type="dxa" w:w="1296"/>
          </w:tcPr>
          <w:p>
            <w:pPr>
              <w:spacing w:before="20" w:after="20"/>
            </w:pPr>
            <w:r/>
            <w:r>
              <w:rPr>
                <w:b w:val="0"/>
                <w:sz w:val="18"/>
              </w:rPr>
              <w:t>3,000</w:t>
            </w:r>
          </w:p>
        </w:tc>
        <w:tc>
          <w:tcPr>
            <w:tcW w:type="dxa" w:w="1728"/>
          </w:tcPr>
          <w:p>
            <w:pPr>
              <w:spacing w:before="20" w:after="20"/>
              <w:jc w:val="right"/>
            </w:pPr>
            <w:r/>
            <w:r>
              <w:rPr>
                <w:b w:val="0"/>
                <w:sz w:val="18"/>
              </w:rPr>
              <w:t>0.2081</w:t>
            </w:r>
          </w:p>
        </w:tc>
        <w:tc>
          <w:tcPr>
            <w:tcW w:type="dxa" w:w="1728"/>
          </w:tcPr>
          <w:p>
            <w:pPr>
              <w:spacing w:before="20" w:after="20"/>
              <w:jc w:val="right"/>
            </w:pPr>
            <w:r/>
            <w:r>
              <w:rPr>
                <w:b w:val="0"/>
                <w:sz w:val="18"/>
              </w:rPr>
              <w:t>0.12877</w:t>
            </w:r>
          </w:p>
        </w:tc>
        <w:tc>
          <w:tcPr>
            <w:tcW w:type="dxa" w:w="2880"/>
          </w:tcPr>
          <w:p>
            <w:pPr>
              <w:spacing w:before="20" w:after="20"/>
            </w:pPr>
            <w:r/>
            <w:r>
              <w:rPr>
                <w:b w:val="0"/>
                <w:sz w:val="18"/>
              </w:rPr>
              <w:t>validation, by 0.079</w:t>
            </w:r>
          </w:p>
        </w:tc>
      </w:tr>
      <w:tr>
        <w:trPr>
          <w:cantSplit/>
        </w:trPr>
        <w:tc>
          <w:tcPr>
            <w:tcW w:type="dxa" w:w="1296"/>
          </w:tcPr>
          <w:p>
            <w:pPr>
              <w:spacing w:before="20" w:after="20"/>
            </w:pPr>
            <w:r/>
            <w:r>
              <w:rPr>
                <w:b w:val="0"/>
                <w:sz w:val="18"/>
              </w:rPr>
              <w:t>4,500</w:t>
            </w:r>
          </w:p>
        </w:tc>
        <w:tc>
          <w:tcPr>
            <w:tcW w:type="dxa" w:w="1728"/>
          </w:tcPr>
          <w:p>
            <w:pPr>
              <w:spacing w:before="20" w:after="20"/>
              <w:jc w:val="right"/>
            </w:pPr>
            <w:r/>
            <w:r>
              <w:rPr>
                <w:b w:val="0"/>
                <w:sz w:val="18"/>
              </w:rPr>
              <w:t>0.1110</w:t>
            </w:r>
          </w:p>
        </w:tc>
        <w:tc>
          <w:tcPr>
            <w:tcW w:type="dxa" w:w="1728"/>
          </w:tcPr>
          <w:p>
            <w:pPr>
              <w:spacing w:before="20" w:after="20"/>
              <w:jc w:val="right"/>
            </w:pPr>
            <w:r/>
            <w:r>
              <w:rPr>
                <w:b w:val="0"/>
                <w:sz w:val="18"/>
              </w:rPr>
              <w:t>0.10067</w:t>
            </w:r>
          </w:p>
        </w:tc>
        <w:tc>
          <w:tcPr>
            <w:tcW w:type="dxa" w:w="2880"/>
          </w:tcPr>
          <w:p>
            <w:pPr>
              <w:spacing w:before="20" w:after="20"/>
            </w:pPr>
            <w:r/>
            <w:r>
              <w:rPr>
                <w:b w:val="0"/>
                <w:sz w:val="18"/>
              </w:rPr>
              <w:t>validation, by 0.010</w:t>
            </w:r>
          </w:p>
        </w:tc>
      </w:tr>
      <w:tr>
        <w:trPr>
          <w:cantSplit/>
        </w:trPr>
        <w:tc>
          <w:tcPr>
            <w:tcW w:type="dxa" w:w="1296"/>
          </w:tcPr>
          <w:p>
            <w:pPr>
              <w:spacing w:before="20" w:after="20"/>
            </w:pPr>
            <w:r/>
            <w:r>
              <w:rPr>
                <w:b w:val="0"/>
                <w:sz w:val="18"/>
              </w:rPr>
              <w:t>6,000</w:t>
            </w:r>
          </w:p>
        </w:tc>
        <w:tc>
          <w:tcPr>
            <w:tcW w:type="dxa" w:w="1728"/>
          </w:tcPr>
          <w:p>
            <w:pPr>
              <w:spacing w:before="20" w:after="20"/>
              <w:jc w:val="right"/>
            </w:pPr>
            <w:r/>
            <w:r>
              <w:rPr>
                <w:b w:val="0"/>
                <w:sz w:val="18"/>
              </w:rPr>
              <w:t>0.0779</w:t>
            </w:r>
          </w:p>
        </w:tc>
        <w:tc>
          <w:tcPr>
            <w:tcW w:type="dxa" w:w="1728"/>
          </w:tcPr>
          <w:p>
            <w:pPr>
              <w:spacing w:before="20" w:after="20"/>
              <w:jc w:val="right"/>
            </w:pPr>
            <w:r/>
            <w:r>
              <w:rPr>
                <w:b w:val="0"/>
                <w:sz w:val="18"/>
              </w:rPr>
              <w:t>0.08704</w:t>
            </w:r>
          </w:p>
        </w:tc>
        <w:tc>
          <w:tcPr>
            <w:tcW w:type="dxa" w:w="2880"/>
          </w:tcPr>
          <w:p>
            <w:pPr>
              <w:spacing w:before="20" w:after="20"/>
            </w:pPr>
            <w:r/>
            <w:r>
              <w:rPr>
                <w:b w:val="0"/>
                <w:sz w:val="18"/>
              </w:rPr>
              <w:t>training, by 0.009</w:t>
            </w:r>
          </w:p>
        </w:tc>
      </w:tr>
      <w:tr>
        <w:trPr>
          <w:cantSplit/>
        </w:trPr>
        <w:tc>
          <w:tcPr>
            <w:tcW w:type="dxa" w:w="1296"/>
          </w:tcPr>
          <w:p>
            <w:pPr>
              <w:spacing w:before="20" w:after="20"/>
            </w:pPr>
            <w:r/>
            <w:r>
              <w:rPr>
                <w:b w:val="0"/>
                <w:sz w:val="18"/>
              </w:rPr>
              <w:t>6,270</w:t>
            </w:r>
          </w:p>
        </w:tc>
        <w:tc>
          <w:tcPr>
            <w:tcW w:type="dxa" w:w="1728"/>
          </w:tcPr>
          <w:p>
            <w:pPr>
              <w:spacing w:before="20" w:after="20"/>
              <w:jc w:val="right"/>
            </w:pPr>
            <w:r/>
            <w:r>
              <w:rPr>
                <w:b w:val="0"/>
                <w:sz w:val="18"/>
              </w:rPr>
              <w:t>0.0678</w:t>
            </w:r>
          </w:p>
        </w:tc>
        <w:tc>
          <w:tcPr>
            <w:tcW w:type="dxa" w:w="1728"/>
          </w:tcPr>
          <w:p>
            <w:pPr>
              <w:spacing w:before="20" w:after="20"/>
              <w:jc w:val="right"/>
            </w:pPr>
            <w:r/>
            <w:r>
              <w:rPr>
                <w:b w:val="0"/>
                <w:sz w:val="18"/>
              </w:rPr>
              <w:t>0.08567</w:t>
            </w:r>
          </w:p>
        </w:tc>
        <w:tc>
          <w:tcPr>
            <w:tcW w:type="dxa" w:w="2880"/>
          </w:tcPr>
          <w:p>
            <w:pPr>
              <w:spacing w:before="20" w:after="20"/>
            </w:pPr>
            <w:r/>
            <w:r>
              <w:rPr>
                <w:b w:val="0"/>
                <w:sz w:val="18"/>
              </w:rPr>
              <w:t>training, by 0.018</w:t>
            </w:r>
          </w:p>
        </w:tc>
      </w:tr>
    </w:tbl>
    <w:p>
      <w:pPr>
        <w:spacing w:after="20"/>
      </w:pPr>
    </w:p>
    <w:p>
      <w:r>
        <w:rPr>
          <w:i w:val="0"/>
        </w:rPr>
        <w:t>Validation loss starting below training loss looks wrong and is not. LoRA dropout of 0.05 is active while training loss is measured and disabled during evaluation, so the model is handicapped in the first measurement and not the second; and training loss is averaged over a window during which the model is still improving, while validation loss is a snapshot taken at the end of it. The two are level at step 4,500 — a gap of 0.010 in a quantity that has fallen by an order of magnitude — and by step 6,000 the order has reversed and the gap is widening. In Figure 1 the crossing appears slightly earlier, because the plotted training curve is a moving average while the table reports the value logged at each evaluation step. Either way the reversal happens during the third epoch, which lines up with the epoch-boundary pattern above. It is the beginning of the process that becomes overfitting if training continues, not overfitting itself.</w:t>
      </w:r>
    </w:p>
    <w:p>
      <w:pPr>
        <w:pStyle w:val="Heading1"/>
      </w:pPr>
      <w:r>
        <w:t>4. Word and character error rate</w:t>
      </w:r>
    </w:p>
    <w:p>
      <w:pPr>
        <w:spacing w:after="40"/>
        <w:jc w:val="center"/>
      </w:pPr>
      <w:r>
        <w:drawing>
          <wp:inline xmlns:a="http://schemas.openxmlformats.org/drawingml/2006/main" xmlns:pic="http://schemas.openxmlformats.org/drawingml/2006/picture">
            <wp:extent cx="3840480" cy="1856231"/>
            <wp:docPr id="2" name="Picture 2"/>
            <wp:cNvGraphicFramePr>
              <a:graphicFrameLocks noChangeAspect="1"/>
            </wp:cNvGraphicFramePr>
            <a:graphic>
              <a:graphicData uri="http://schemas.openxmlformats.org/drawingml/2006/picture">
                <pic:pic>
                  <pic:nvPicPr>
                    <pic:cNvPr id="0" name="fig2_wer_cer.png"/>
                    <pic:cNvPicPr/>
                  </pic:nvPicPr>
                  <pic:blipFill>
                    <a:blip r:embed="rId10"/>
                    <a:stretch>
                      <a:fillRect/>
                    </a:stretch>
                  </pic:blipFill>
                  <pic:spPr>
                    <a:xfrm>
                      <a:off x="0" y="0"/>
                      <a:ext cx="3840480" cy="1856231"/>
                    </a:xfrm>
                    <a:prstGeom prst="rect"/>
                  </pic:spPr>
                </pic:pic>
              </a:graphicData>
            </a:graphic>
          </wp:inline>
        </w:drawing>
      </w:r>
    </w:p>
    <w:p>
      <w:pPr>
        <w:spacing w:after="180"/>
        <w:jc w:val="center"/>
      </w:pPr>
      <w:r>
        <w:rPr>
          <w:i/>
          <w:color w:val="595959"/>
          <w:sz w:val="17"/>
        </w:rPr>
        <w:t>Figure 2 — WER and CER at each evaluation. The dashed line is the final full-split WER.</w:t>
      </w:r>
    </w:p>
    <w:tbl>
      <w:tblPr>
        <w:tblStyle w:val="TableGrid"/>
        <w:jc w:val="center"/>
        <w:tblLayout w:type="fixed"/>
        <w:tblLook w:firstColumn="1" w:firstRow="1" w:lastColumn="0" w:lastRow="0" w:noHBand="0" w:noVBand="1" w:val="04A0"/>
        <w:tblW w:w="6048" w:type="dxa"/>
      </w:tblPr>
      <w:tblGrid>
        <w:gridCol w:w="3154"/>
        <w:gridCol w:w="3154"/>
        <w:gridCol w:w="3154"/>
      </w:tblGrid>
      <w:tr>
        <w:trPr>
          <w:tblHeader w:val="true"/>
        </w:trPr>
        <w:tc>
          <w:tcPr>
            <w:tcW w:type="dxa" w:w="2304"/>
            <w:shd w:val="clear" w:fill="DCE6F1"/>
          </w:tcPr>
          <w:p>
            <w:pPr>
              <w:spacing w:before="20" w:after="20"/>
            </w:pPr>
            <w:r/>
            <w:r>
              <w:rPr>
                <w:b/>
                <w:sz w:val="18"/>
              </w:rPr>
              <w:t>Interval</w:t>
            </w:r>
          </w:p>
        </w:tc>
        <w:tc>
          <w:tcPr>
            <w:tcW w:type="dxa" w:w="2304"/>
            <w:shd w:val="clear" w:fill="DCE6F1"/>
          </w:tcPr>
          <w:p>
            <w:pPr>
              <w:spacing w:before="20" w:after="20"/>
            </w:pPr>
            <w:r/>
            <w:r>
              <w:rPr>
                <w:b/>
                <w:sz w:val="18"/>
              </w:rPr>
              <w:t>WER change</w:t>
            </w:r>
          </w:p>
        </w:tc>
        <w:tc>
          <w:tcPr>
            <w:tcW w:type="dxa" w:w="1440"/>
            <w:shd w:val="clear" w:fill="DCE6F1"/>
          </w:tcPr>
          <w:p>
            <w:pPr>
              <w:spacing w:before="20" w:after="20"/>
            </w:pPr>
            <w:r/>
            <w:r>
              <w:rPr>
                <w:b/>
                <w:sz w:val="18"/>
              </w:rPr>
              <w:t>Steps</w:t>
            </w:r>
          </w:p>
        </w:tc>
      </w:tr>
      <w:tr>
        <w:trPr>
          <w:cantSplit/>
        </w:trPr>
        <w:tc>
          <w:tcPr>
            <w:tcW w:type="dxa" w:w="2304"/>
          </w:tcPr>
          <w:p>
            <w:pPr>
              <w:spacing w:before="20" w:after="20"/>
            </w:pPr>
            <w:r/>
            <w:r>
              <w:rPr>
                <w:b w:val="0"/>
                <w:sz w:val="18"/>
              </w:rPr>
              <w:t>1,500 → 3,000</w:t>
            </w:r>
          </w:p>
        </w:tc>
        <w:tc>
          <w:tcPr>
            <w:tcW w:type="dxa" w:w="2304"/>
          </w:tcPr>
          <w:p>
            <w:pPr>
              <w:spacing w:before="20" w:after="20"/>
              <w:jc w:val="right"/>
            </w:pPr>
            <w:r/>
            <w:r>
              <w:rPr>
                <w:b w:val="0"/>
                <w:sz w:val="18"/>
              </w:rPr>
              <w:t>−3.80 points</w:t>
            </w:r>
          </w:p>
        </w:tc>
        <w:tc>
          <w:tcPr>
            <w:tcW w:type="dxa" w:w="1440"/>
          </w:tcPr>
          <w:p>
            <w:pPr>
              <w:spacing w:before="20" w:after="20"/>
              <w:jc w:val="right"/>
            </w:pPr>
            <w:r/>
            <w:r>
              <w:rPr>
                <w:b w:val="0"/>
                <w:sz w:val="18"/>
              </w:rPr>
              <w:t>1,500</w:t>
            </w:r>
          </w:p>
        </w:tc>
      </w:tr>
      <w:tr>
        <w:trPr>
          <w:cantSplit/>
        </w:trPr>
        <w:tc>
          <w:tcPr>
            <w:tcW w:type="dxa" w:w="2304"/>
          </w:tcPr>
          <w:p>
            <w:pPr>
              <w:spacing w:before="20" w:after="20"/>
            </w:pPr>
            <w:r/>
            <w:r>
              <w:rPr>
                <w:b w:val="0"/>
                <w:sz w:val="18"/>
              </w:rPr>
              <w:t>3,000 → 4,500</w:t>
            </w:r>
          </w:p>
        </w:tc>
        <w:tc>
          <w:tcPr>
            <w:tcW w:type="dxa" w:w="2304"/>
          </w:tcPr>
          <w:p>
            <w:pPr>
              <w:spacing w:before="20" w:after="20"/>
              <w:jc w:val="right"/>
            </w:pPr>
            <w:r/>
            <w:r>
              <w:rPr>
                <w:b w:val="0"/>
                <w:sz w:val="18"/>
              </w:rPr>
              <w:t>−2.93 points</w:t>
            </w:r>
          </w:p>
        </w:tc>
        <w:tc>
          <w:tcPr>
            <w:tcW w:type="dxa" w:w="1440"/>
          </w:tcPr>
          <w:p>
            <w:pPr>
              <w:spacing w:before="20" w:after="20"/>
              <w:jc w:val="right"/>
            </w:pPr>
            <w:r/>
            <w:r>
              <w:rPr>
                <w:b w:val="0"/>
                <w:sz w:val="18"/>
              </w:rPr>
              <w:t>1,500</w:t>
            </w:r>
          </w:p>
        </w:tc>
      </w:tr>
      <w:tr>
        <w:trPr>
          <w:cantSplit/>
        </w:trPr>
        <w:tc>
          <w:tcPr>
            <w:tcW w:type="dxa" w:w="2304"/>
          </w:tcPr>
          <w:p>
            <w:pPr>
              <w:spacing w:before="20" w:after="20"/>
            </w:pPr>
            <w:r/>
            <w:r>
              <w:rPr>
                <w:b w:val="0"/>
                <w:sz w:val="18"/>
              </w:rPr>
              <w:t>4,500 → 6,000</w:t>
            </w:r>
          </w:p>
        </w:tc>
        <w:tc>
          <w:tcPr>
            <w:tcW w:type="dxa" w:w="2304"/>
          </w:tcPr>
          <w:p>
            <w:pPr>
              <w:spacing w:before="20" w:after="20"/>
              <w:jc w:val="right"/>
            </w:pPr>
            <w:r/>
            <w:r>
              <w:rPr>
                <w:b w:val="0"/>
                <w:sz w:val="18"/>
              </w:rPr>
              <w:t>−1.38 points</w:t>
            </w:r>
          </w:p>
        </w:tc>
        <w:tc>
          <w:tcPr>
            <w:tcW w:type="dxa" w:w="1440"/>
          </w:tcPr>
          <w:p>
            <w:pPr>
              <w:spacing w:before="20" w:after="20"/>
              <w:jc w:val="right"/>
            </w:pPr>
            <w:r/>
            <w:r>
              <w:rPr>
                <w:b w:val="0"/>
                <w:sz w:val="18"/>
              </w:rPr>
              <w:t>1,500</w:t>
            </w:r>
          </w:p>
        </w:tc>
      </w:tr>
      <w:tr>
        <w:trPr>
          <w:cantSplit/>
        </w:trPr>
        <w:tc>
          <w:tcPr>
            <w:tcW w:type="dxa" w:w="2304"/>
          </w:tcPr>
          <w:p>
            <w:pPr>
              <w:spacing w:before="20" w:after="20"/>
            </w:pPr>
            <w:r/>
            <w:r>
              <w:rPr>
                <w:b w:val="0"/>
                <w:sz w:val="18"/>
              </w:rPr>
              <w:t>6,000 → 6,270</w:t>
            </w:r>
          </w:p>
        </w:tc>
        <w:tc>
          <w:tcPr>
            <w:tcW w:type="dxa" w:w="2304"/>
          </w:tcPr>
          <w:p>
            <w:pPr>
              <w:spacing w:before="20" w:after="20"/>
              <w:jc w:val="right"/>
            </w:pPr>
            <w:r/>
            <w:r>
              <w:rPr>
                <w:b w:val="0"/>
                <w:sz w:val="18"/>
              </w:rPr>
              <w:t>−0.02 points</w:t>
            </w:r>
          </w:p>
        </w:tc>
        <w:tc>
          <w:tcPr>
            <w:tcW w:type="dxa" w:w="1440"/>
          </w:tcPr>
          <w:p>
            <w:pPr>
              <w:spacing w:before="20" w:after="20"/>
              <w:jc w:val="right"/>
            </w:pPr>
            <w:r/>
            <w:r>
              <w:rPr>
                <w:b w:val="0"/>
                <w:sz w:val="18"/>
              </w:rPr>
              <w:t>270</w:t>
            </w:r>
          </w:p>
        </w:tc>
      </w:tr>
    </w:tbl>
    <w:p>
      <w:pPr>
        <w:spacing w:after="20"/>
      </w:pPr>
    </w:p>
    <w:p>
      <w:r>
        <w:rPr>
          <w:b/>
        </w:rPr>
        <w:t xml:space="preserve">The last figure is not a small improvement — it is below the measurement floor. </w:t>
      </w:r>
      <w:r>
        <w:rPr>
          <w:b w:val="0"/>
        </w:rPr>
        <w:t>The same checkpoint scored 8.17% on the 500-row subset and 8.05% on the full 5,900 rows: a 0.12-point disagreement between two measurements of one identical model. The last observed change is six times smaller than that. The defensible statement is that WER stopped moving measurably after step 6,000, not that it improved slightly.</w:t>
      </w:r>
    </w:p>
    <w:p>
      <w:r>
        <w:rPr>
          <w:i w:val="0"/>
        </w:rPr>
        <w:t>CER ends at 1.90% against a WER of 8.17%, a ratio better than four to one. WER marks a whole word wrong if one character differs; CER counts only the differing characters, so a ratio this wide means most of what remains is small differences inside otherwise-correct words rather than whole words misrecognised. Task 4 takes those errors apart and finds a quarter of them are Persian spacing and homophone-letter conventions — exactly the kind of error that inflates WER while barely touching CER.</w:t>
      </w:r>
    </w:p>
    <w:p>
      <w:pPr>
        <w:pStyle w:val="Heading1"/>
      </w:pPr>
      <w:r>
        <w:t>5. Overfitting, convergence and stability</w:t>
      </w:r>
    </w:p>
    <w:p>
      <w:r>
        <w:rPr>
          <w:i w:val="0"/>
        </w:rPr>
        <w:t>Validation loss decreased at all five measurements and was still decreasing at the end. WER and CER decreased monotonically. The training/validation gap at the end was 0.018. Overfitting is the opposite pattern — training loss falling while validation loss and error rates rise — and it appears nowhere in this run. Two structural reasons make it unlikely at this scale: LoRA trains 15.7 M of 1.56 B parameters, which is very little capacity in which to memorise 33,432 samples, and the linear schedule had decayed the learning rate to 1.6e-07 by the end.</w:t>
      </w:r>
    </w:p>
    <w:p>
      <w:r>
        <w:rPr>
          <w:i w:val="0"/>
        </w:rPr>
        <w:t>Convergence is a different question, and the model had effectively converged by step 6,000: WER did not move measurably over the final 270 steps, and section 3 shows where the remaining training-loss improvement was going. A fourth epoch would most likely have continued that trade. The run stopped in a reasonable place, though it stopped there because the brief specified three epochs, not because a criterion fired.</w:t>
      </w:r>
    </w:p>
    <w:p>
      <w:r>
        <w:rPr>
          <w:i w:val="0"/>
        </w:rPr>
        <w:t>Training was stable throughout. The gradient norm stayed bounded — minimum 0.205, maximum 2.759, median 0.948, only four of 626 points above 2.0, and no drift. Clipping was active rather than unnecessary: train.py does not set max_grad_norm, so the default of 1.0 applied and 44.6% of updates were rescaled. One NaN norm was logged at step 1,080, with ordinary neighbours and no spike in the loss — the fp16 scaler detecting an overflow, skipping that update, working as designed.</w:t>
      </w:r>
    </w:p>
    <w:p>
      <w:r>
        <w:rPr>
          <w:i w:val="0"/>
        </w:rPr>
        <w:t>A tempting explanation for that one event is the clipped audio left untreated in Task 1, since distorted spectrograms are a plausible source of large gradients. The arithmetic argues against it: 22.10% of the corpus is clipped, so at an effective batch of 16 the chance a batch contains no clipped sample is 1.8%, meaning roughly 615 of the 627 logged steps trained on at least one. If clipping were driving the overflow it would fire constantly rather than once. Settling it properly would mean logging which sample ids were in each batch, which the pipeline does not currently record.</w:t>
      </w:r>
    </w:p>
    <w:p>
      <w:r>
        <w:rPr>
          <w:b/>
        </w:rPr>
        <w:t xml:space="preserve">One caveat applies to every number above. </w:t>
      </w:r>
      <w:r>
        <w:rPr>
          <w:b w:val="0"/>
        </w:rPr>
        <w:t>Task 1 established that 51.9% of validation transcripts also occur in training, with different audio, so the decoder has already been trained to produce half of these sentences. Validation loss is hit hardest by this, harder than WER: it is measured with teacher forcing, so on a sentence whose exact token sequence the decoder has already learned, predicting the next token is close to trivial and the loss is depressed for a reason that has nothing to do with the audio. Part of the 47% fall in validation loss is therefore the language model recognising text it has seen, not the acoustic model improving. That affects the level of every figure here, but not the shapes — the epoch steps, the crossover, the flattening — which are what the analysis rests on.</w:t>
      </w:r>
    </w:p>
    <w:sectPr w:rsidR="00FC693F" w:rsidRPr="0006063C" w:rsidSect="00034616">
      <w:pgSz w:w="11909" w:h="16834"/>
      <w:pgMar w:top="936"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59595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