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spacing w:after="60"/>
      </w:pPr>
      <w:r>
        <w:rPr>
          <w:i w:val="0"/>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Pr>
        <w:t xml:space="preserve">Assumption 1, silence: </w:t>
      </w:r>
      <w: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Pr>
        <w:t xml:space="preserve">Assumption 6, sample rate: </w:t>
      </w:r>
      <w: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t>2. Are there duplicated transcripts?</w:t>
      </w:r>
    </w:p>
    <w:p>
      <w:r>
        <w:rPr>
          <w:b/>
        </w:rPr>
        <w:t xml:space="preserve">Yes — 26,626 distinct transcripts across 39,332 records. </w:t>
      </w:r>
      <w:r>
        <w:rPr>
          <w:b w:val="0"/>
        </w:rPr>
        <w:t>59.0% of records share their text with at least one other record, and 12,706 of them (32.3%) are surplus copies. The two figures answer different questions and both are given, because "how much of the corpus is repeated text" has no single right answer.</w:t>
      </w:r>
    </w:p>
    <w:p>
      <w:pPr>
        <w:spacing w:after="80"/>
      </w:pPr>
      <w:r>
        <w:rPr>
          <w:i w:val="0"/>
        </w:rPr>
        <w:t>Repetition has to be separated into kinds before deciding anything.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Pr>
              <w:t>Copies of the same transcript</w:t>
            </w:r>
          </w:p>
        </w:tc>
        <w:tc>
          <w:tcPr>
            <w:tcW w:type="dxa" w:w="3024"/>
            <w:shd w:val="clear" w:fill="DCE6F1"/>
          </w:tcPr>
          <w:p>
            <w:pPr>
              <w:spacing w:before="20" w:after="20"/>
            </w:pPr>
            <w:r/>
            <w:r>
              <w:rPr>
                <w:b/>
                <w:sz w:val="18"/>
              </w:rPr>
              <w:t>Distinct transcripts</w:t>
            </w:r>
          </w:p>
        </w:tc>
        <w:tc>
          <w:tcPr>
            <w:tcW w:type="dxa" w:w="3024"/>
            <w:shd w:val="clear" w:fill="DCE6F1"/>
          </w:tcPr>
          <w:p>
            <w:pPr>
              <w:spacing w:before="20" w:after="20"/>
            </w:pPr>
            <w:r/>
            <w:r>
              <w:rPr>
                <w:b/>
                <w:sz w:val="18"/>
              </w:rPr>
              <w:t>Records</w:t>
            </w:r>
          </w:p>
        </w:tc>
      </w:tr>
      <w:tr>
        <w:trPr>
          <w:cantSplit/>
        </w:trPr>
        <w:tc>
          <w:tcPr>
            <w:tcW w:type="dxa" w:w="3456"/>
          </w:tcPr>
          <w:p>
            <w:pPr>
              <w:spacing w:before="20" w:after="20"/>
            </w:pPr>
            <w:r/>
            <w:r>
              <w:rPr>
                <w:b w:val="0"/>
                <w:sz w:val="18"/>
              </w:rPr>
              <w:t>1</w:t>
            </w:r>
          </w:p>
        </w:tc>
        <w:tc>
          <w:tcPr>
            <w:tcW w:type="dxa" w:w="3024"/>
          </w:tcPr>
          <w:p>
            <w:pPr>
              <w:spacing w:before="20" w:after="20"/>
              <w:jc w:val="right"/>
            </w:pPr>
            <w:r/>
            <w:r>
              <w:rPr>
                <w:b w:val="0"/>
                <w:sz w:val="18"/>
              </w:rPr>
              <w:t>16,142</w:t>
            </w:r>
          </w:p>
        </w:tc>
        <w:tc>
          <w:tcPr>
            <w:tcW w:type="dxa" w:w="3024"/>
          </w:tcPr>
          <w:p>
            <w:pPr>
              <w:spacing w:before="20" w:after="20"/>
              <w:jc w:val="right"/>
            </w:pPr>
            <w:r/>
            <w:r>
              <w:rPr>
                <w:b w:val="0"/>
                <w:sz w:val="18"/>
              </w:rPr>
              <w:t>16,142</w:t>
            </w:r>
          </w:p>
        </w:tc>
      </w:tr>
      <w:tr>
        <w:trPr>
          <w:cantSplit/>
        </w:trPr>
        <w:tc>
          <w:tcPr>
            <w:tcW w:type="dxa" w:w="3456"/>
          </w:tcPr>
          <w:p>
            <w:pPr>
              <w:spacing w:before="20" w:after="20"/>
            </w:pPr>
            <w:r/>
            <w:r>
              <w:rPr>
                <w:b w:val="0"/>
                <w:sz w:val="18"/>
              </w:rPr>
              <w:t>2</w:t>
            </w:r>
          </w:p>
        </w:tc>
        <w:tc>
          <w:tcPr>
            <w:tcW w:type="dxa" w:w="3024"/>
          </w:tcPr>
          <w:p>
            <w:pPr>
              <w:spacing w:before="20" w:after="20"/>
              <w:jc w:val="right"/>
            </w:pPr>
            <w:r/>
            <w:r>
              <w:rPr>
                <w:b w:val="0"/>
                <w:sz w:val="18"/>
              </w:rPr>
              <w:t>8,463</w:t>
            </w:r>
          </w:p>
        </w:tc>
        <w:tc>
          <w:tcPr>
            <w:tcW w:type="dxa" w:w="3024"/>
          </w:tcPr>
          <w:p>
            <w:pPr>
              <w:spacing w:before="20" w:after="20"/>
              <w:jc w:val="right"/>
            </w:pPr>
            <w:r/>
            <w:r>
              <w:rPr>
                <w:b w:val="0"/>
                <w:sz w:val="18"/>
              </w:rPr>
              <w:t>16,926</w:t>
            </w:r>
          </w:p>
        </w:tc>
      </w:tr>
      <w:tr>
        <w:trPr>
          <w:cantSplit/>
        </w:trPr>
        <w:tc>
          <w:tcPr>
            <w:tcW w:type="dxa" w:w="3456"/>
          </w:tcPr>
          <w:p>
            <w:pPr>
              <w:spacing w:before="20" w:after="20"/>
            </w:pPr>
            <w:r/>
            <w:r>
              <w:rPr>
                <w:b w:val="0"/>
                <w:sz w:val="18"/>
              </w:rPr>
              <w:t>3</w:t>
            </w:r>
          </w:p>
        </w:tc>
        <w:tc>
          <w:tcPr>
            <w:tcW w:type="dxa" w:w="3024"/>
          </w:tcPr>
          <w:p>
            <w:pPr>
              <w:spacing w:before="20" w:after="20"/>
              <w:jc w:val="right"/>
            </w:pPr>
            <w:r/>
            <w:r>
              <w:rPr>
                <w:b w:val="0"/>
                <w:sz w:val="18"/>
              </w:rPr>
              <w:t>1,891</w:t>
            </w:r>
          </w:p>
        </w:tc>
        <w:tc>
          <w:tcPr>
            <w:tcW w:type="dxa" w:w="3024"/>
          </w:tcPr>
          <w:p>
            <w:pPr>
              <w:spacing w:before="20" w:after="20"/>
              <w:jc w:val="right"/>
            </w:pPr>
            <w:r/>
            <w:r>
              <w:rPr>
                <w:b w:val="0"/>
                <w:sz w:val="18"/>
              </w:rPr>
              <w:t>5,673</w:t>
            </w:r>
          </w:p>
        </w:tc>
      </w:tr>
      <w:tr>
        <w:trPr>
          <w:cantSplit/>
        </w:trPr>
        <w:tc>
          <w:tcPr>
            <w:tcW w:type="dxa" w:w="3456"/>
          </w:tcPr>
          <w:p>
            <w:pPr>
              <w:spacing w:before="20" w:after="20"/>
            </w:pPr>
            <w:r/>
            <w:r>
              <w:rPr>
                <w:b w:val="0"/>
                <w:sz w:val="18"/>
              </w:rPr>
              <w:t>4 – 8</w:t>
            </w:r>
          </w:p>
        </w:tc>
        <w:tc>
          <w:tcPr>
            <w:tcW w:type="dxa" w:w="3024"/>
          </w:tcPr>
          <w:p>
            <w:pPr>
              <w:spacing w:before="20" w:after="20"/>
              <w:jc w:val="right"/>
            </w:pPr>
            <w:r/>
            <w:r>
              <w:rPr>
                <w:b w:val="0"/>
                <w:sz w:val="18"/>
              </w:rPr>
              <w:t>128</w:t>
            </w:r>
          </w:p>
        </w:tc>
        <w:tc>
          <w:tcPr>
            <w:tcW w:type="dxa" w:w="3024"/>
          </w:tcPr>
          <w:p>
            <w:pPr>
              <w:spacing w:before="20" w:after="20"/>
              <w:jc w:val="right"/>
            </w:pPr>
            <w:r/>
            <w:r>
              <w:rPr>
                <w:b w:val="0"/>
                <w:sz w:val="18"/>
              </w:rPr>
              <w:t>564</w:t>
            </w:r>
          </w:p>
        </w:tc>
      </w:tr>
      <w:tr>
        <w:trPr>
          <w:cantSplit/>
        </w:trPr>
        <w:tc>
          <w:tcPr>
            <w:tcW w:type="dxa" w:w="3456"/>
          </w:tcPr>
          <w:p>
            <w:pPr>
              <w:spacing w:before="20" w:after="20"/>
            </w:pPr>
            <w:r/>
            <w:r>
              <w:rPr>
                <w:b w:val="0"/>
                <w:sz w:val="18"/>
              </w:rPr>
              <w:t>11</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11</w:t>
            </w:r>
          </w:p>
        </w:tc>
      </w:tr>
      <w:tr>
        <w:trPr>
          <w:cantSplit/>
        </w:trPr>
        <w:tc>
          <w:tcPr>
            <w:tcW w:type="dxa" w:w="3456"/>
          </w:tcPr>
          <w:p>
            <w:pPr>
              <w:spacing w:before="20" w:after="20"/>
            </w:pPr>
            <w:r/>
            <w:r>
              <w:rPr>
                <w:b w:val="0"/>
                <w:sz w:val="18"/>
              </w:rPr>
              <w:t>16</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16</w:t>
            </w:r>
          </w:p>
        </w:tc>
      </w:tr>
      <w:tr>
        <w:trPr>
          <w:cantSplit/>
        </w:trPr>
        <w:tc>
          <w:tcPr>
            <w:tcW w:type="dxa" w:w="3456"/>
          </w:tcPr>
          <w:p>
            <w:pPr>
              <w:spacing w:before="20" w:after="20"/>
            </w:pPr>
            <w:r/>
            <w:r>
              <w:rPr>
                <w:b/>
                <w:sz w:val="18"/>
              </w:rPr>
              <w:t>Total</w:t>
            </w:r>
          </w:p>
        </w:tc>
        <w:tc>
          <w:tcPr>
            <w:tcW w:type="dxa" w:w="3024"/>
          </w:tcPr>
          <w:p>
            <w:pPr>
              <w:spacing w:before="20" w:after="20"/>
              <w:jc w:val="right"/>
            </w:pPr>
            <w:r/>
            <w:r>
              <w:rPr>
                <w:b/>
                <w:sz w:val="18"/>
              </w:rPr>
              <w:t>26,626</w:t>
            </w:r>
          </w:p>
        </w:tc>
        <w:tc>
          <w:tcPr>
            <w:tcW w:type="dxa" w:w="3024"/>
          </w:tcPr>
          <w:p>
            <w:pPr>
              <w:spacing w:before="20" w:after="20"/>
              <w:jc w:val="right"/>
            </w:pPr>
            <w:r/>
            <w:r>
              <w:rPr>
                <w:b/>
                <w:sz w:val="18"/>
              </w:rPr>
              <w:t>39,332</w:t>
            </w:r>
          </w:p>
        </w:tc>
      </w:tr>
    </w:tbl>
    <w:p>
      <w:pPr>
        <w:spacing w:after="20"/>
      </w:pPr>
    </w:p>
    <w:p>
      <w:r>
        <w:rPr>
          <w:i/>
          <w:sz w:val="18"/>
        </w:rPr>
        <w:t>Counted over the 39,332 cleaned records, not the 40,008 raw ones — the normalisation figures above are on the raw set, these are on what survived it.</w:t>
      </w:r>
    </w:p>
    <w:p>
      <w:r>
        <w:rPr>
          <w:i w:val="0"/>
        </w:rPr>
        <w:t>Everything above three copies is a short conversational phrase, which the cap deliberately exempts; the most repeated is a two-word courtesy appearing 16 times. No long sentence survives more than three times.</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with num2fawords</w:t>
            </w:r>
          </w:p>
        </w:tc>
      </w:tr>
    </w:tbl>
    <w:p>
      <w:pPr>
        <w:spacing w:after="20"/>
      </w:pPr>
    </w:p>
    <w:p>
      <w:pPr>
        <w:spacing w:after="120"/>
      </w:pPr>
      <w:r>
        <w:rPr>
          <w:i w:val="0"/>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Pr>
        <w:t xml:space="preserve">What was deliberately not normalised. </w:t>
      </w:r>
      <w:r>
        <w:rPr>
          <w:b w:val="0"/>
        </w:rPr>
        <w:t>The labels keep their zero-width non-joiners and their punctuation exactly as transcribed: 60.0% of records contain a ZWNJ and 80.9% contain punctuation. Only the Arabic codepoints and the digits were rewritten. This is the most consequential orthographic decision in the project and it deserves stating rather than leaving to be inferred from the code.</w:t>
      </w:r>
    </w:p>
    <w:p>
      <w:r>
        <w:rPr>
          <w:i w:val="0"/>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Pr>
        <w:t>That decision has a measured cost.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Pr>
        <w:t>Punctuation was handled the other way round: kept in the labels, stripped at scoring time. The model therefore learns to produce it, and is not penalised for the references' inconsistency about it. Task 2 explains that choice and Task 4 reports what it hides.</w:t>
      </w:r>
    </w:p>
    <w:p>
      <w:pPr>
        <w:spacing w:after="80"/>
      </w:pPr>
      <w:r>
        <w:rPr>
          <w:i w:val="0"/>
        </w:rPr>
        <w:t>Two groups were removed before anything below was classified: 134 exact row duplicates, matched on a hash of the audio bytes together with the transcript, and 532 surplus copies of long sentences that appeared more than three times. What remains is the corpus that trained the model, and every record in it falls into exactly one of these four rows.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Transcript occurs once</w:t>
            </w:r>
          </w:p>
        </w:tc>
        <w:tc>
          <w:tcPr>
            <w:tcW w:type="dxa" w:w="2736"/>
          </w:tcPr>
          <w:p>
            <w:pPr>
              <w:spacing w:before="20" w:after="20"/>
            </w:pPr>
            <w:r/>
            <w:r>
              <w:rPr>
                <w:b w:val="0"/>
                <w:sz w:val="18"/>
              </w:rPr>
              <w:t>—</w:t>
            </w:r>
          </w:p>
        </w:tc>
        <w:tc>
          <w:tcPr>
            <w:tcW w:type="dxa" w:w="1440"/>
          </w:tcPr>
          <w:p>
            <w:pPr>
              <w:spacing w:before="20" w:after="20"/>
              <w:jc w:val="right"/>
            </w:pPr>
            <w:r/>
            <w:r>
              <w:rPr>
                <w:b w:val="0"/>
                <w:sz w:val="18"/>
              </w:rPr>
              <w:t>16,142</w:t>
            </w:r>
          </w:p>
        </w:tc>
        <w:tc>
          <w:tcPr>
            <w:tcW w:type="dxa" w:w="2736"/>
          </w:tcPr>
          <w:p>
            <w:pPr>
              <w:spacing w:before="20" w:after="20"/>
            </w:pPr>
            <w:r/>
            <w:r>
              <w:rPr>
                <w:b w:val="0"/>
                <w:sz w:val="18"/>
              </w:rPr>
              <w:t>kept</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capped at 3</w:t>
            </w:r>
          </w:p>
        </w:tc>
        <w:tc>
          <w:tcPr>
            <w:tcW w:type="dxa" w:w="2736"/>
          </w:tcPr>
          <w:p>
            <w:pPr>
              <w:spacing w:before="20" w:after="20"/>
            </w:pPr>
            <w:r/>
            <w:r>
              <w:rPr>
                <w:b w:val="0"/>
                <w:sz w:val="18"/>
              </w:rPr>
              <w:t>the surplus was dropped</w:t>
            </w:r>
          </w:p>
        </w:tc>
        <w:tc>
          <w:tcPr>
            <w:tcW w:type="dxa" w:w="1440"/>
          </w:tcPr>
          <w:p>
            <w:pPr>
              <w:spacing w:before="20" w:after="20"/>
              <w:jc w:val="right"/>
            </w:pPr>
            <w:r/>
            <w:r>
              <w:rPr>
                <w:b w:val="0"/>
                <w:sz w:val="18"/>
              </w:rPr>
              <w:t>1,191</w:t>
            </w:r>
          </w:p>
        </w:tc>
        <w:tc>
          <w:tcPr>
            <w:tcW w:type="dxa" w:w="2736"/>
          </w:tcPr>
          <w:p>
            <w:pPr>
              <w:spacing w:before="20" w:after="20"/>
            </w:pPr>
            <w:r/>
            <w:r>
              <w:rPr>
                <w:b w:val="0"/>
                <w:sz w:val="18"/>
              </w:rPr>
              <w:t>kept</w:t>
            </w:r>
          </w:p>
        </w:tc>
      </w:tr>
      <w:tr>
        <w:trPr>
          <w:cantSplit/>
        </w:trPr>
        <w:tc>
          <w:tcPr>
            <w:tcW w:type="dxa" w:w="2592"/>
          </w:tcPr>
          <w:p>
            <w:pPr>
              <w:spacing w:before="20" w:after="20"/>
            </w:pPr>
            <w:r/>
            <w:r>
              <w:rPr>
                <w:b/>
                <w:sz w:val="18"/>
              </w:rPr>
              <w:t>Total</w:t>
            </w:r>
          </w:p>
        </w:tc>
        <w:tc>
          <w:tcPr>
            <w:tcW w:type="dxa" w:w="2736"/>
          </w:tcPr>
          <w:p>
            <w:pPr>
              <w:spacing w:before="20" w:after="20"/>
            </w:pPr>
            <w:r/>
            <w:r>
              <w:rPr>
                <w:b w:val="0"/>
                <w:sz w:val="18"/>
              </w:rPr>
            </w:r>
          </w:p>
        </w:tc>
        <w:tc>
          <w:tcPr>
            <w:tcW w:type="dxa" w:w="1440"/>
          </w:tcPr>
          <w:p>
            <w:pPr>
              <w:spacing w:before="20" w:after="20"/>
              <w:jc w:val="right"/>
            </w:pPr>
            <w:r/>
            <w:r>
              <w:rPr>
                <w:b/>
                <w:sz w:val="18"/>
              </w:rPr>
              <w:t>39,332</w:t>
            </w:r>
          </w:p>
        </w:tc>
        <w:tc>
          <w:tcPr>
            <w:tcW w:type="dxa" w:w="2736"/>
          </w:tcPr>
          <w:p>
            <w:pPr>
              <w:spacing w:before="20" w:after="20"/>
            </w:pPr>
            <w:r/>
            <w:r>
              <w:rPr>
                <w:b w:val="0"/>
                <w:sz w:val="18"/>
              </w:rPr>
            </w:r>
          </w:p>
        </w:tc>
      </w:tr>
    </w:tbl>
    <w:p>
      <w:pPr>
        <w:spacing w:after="20"/>
      </w:pP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That is the count at this stage; section 3 removes ten sub-second files from it, which is where the 39,332 in the table above comes from.</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w:t>
      </w:r>
    </w:p>
    <w:p>
      <w:r>
        <w:rPr>
          <w:i w:val="0"/>
        </w:rPr>
        <w:t>The fix is a transcript-disjoint split, and it was not applied. The split is mine: the Hub release ships a single train split, so src/data_prep.py divided it 85 / 15 on the id with sklearn at random_state=42. It was made before this overlap was measured, and the overlap was measured after the model had already been trained on it. Redoing the split would have meant another sixteen-hour run, which this project had no budget for. So it is recorded as a limitation rather than fixed, and the honest version of the lesson is that a transcript-disjoint split should have been the default from the start rather than something discovered to be necessary afterwards.</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