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Nothing was dropped:</w:t>
      </w:r>
    </w:p>
    <w:p>
      <w:pPr>
        <w:spacing w:after="140" w:before="40"/>
        <w:ind w:left="216"/>
      </w:pPr>
      <w:r>
        <w:rPr>
          <w:rFonts w:ascii="Consolas" w:hAnsi="Consolas"/>
          <w:sz w:val="17"/>
        </w:rPr>
        <w:t>[DECODE] All 33,432 train samples decoded successfully.</w:t>
        <w:br/>
        <w:t>[DECODE] All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Pr>
        <w:t>[COLLATOR] decoder_start_token_id (&lt;|startoftranscript|&gt;) = 50258</w:t>
        <w:br/>
        <w:t xml:space="preserve">           (tokenizer.bos_token_id = 50257 -- intentionally not used)</w:t>
      </w:r>
    </w:p>
    <w:p>
      <w:pPr>
        <w:pStyle w:val="Heading1"/>
      </w:pPr>
      <w: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4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ListBullet"/>
        <w:spacing w:after="120"/>
      </w:pPr>
      <w:r>
        <w:rPr>
          <w:b/>
        </w:rPr>
        <w:t xml:space="preserve">a safe_base_forward wrapper — </w:t>
      </w:r>
      <w: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§10)</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w:t>
            </w:r>
          </w:p>
        </w:tc>
      </w:tr>
    </w:tbl>
    <w:p>
      <w:pPr>
        <w:spacing w:after="20"/>
      </w:pPr>
    </w:p>
    <w:p>
      <w:r>
        <w:rPr>
          <w:i w:val="0"/>
        </w:rPr>
        <w:t>33,432 training samples at an effective batch of 16 give 2,090 optimizer steps per epoch and 6,270 over three epochs. The evaluation interval was passed on the command line as --eval_steps 1500; the value committed in src/config.py is 500, which would have produced 12 evaluations and roughly two additional hours of generation. The reasoning behind that trade is in section 6.</w:t>
      </w:r>
    </w:p>
    <w:p>
      <w:pPr>
        <w:pStyle w:val="Heading1"/>
      </w:pPr>
      <w:r>
        <w:t>6. Evaluation and checkpoint selection</w:t>
      </w:r>
    </w:p>
    <w:p>
      <w:r>
        <w:rPr>
          <w:i w:val="0"/>
        </w:rPr>
        <w:t>WER is (substitutions + deletions + insertions) divided by reference words; CER is the same formula over characters.</w:t>
      </w:r>
    </w:p>
    <w:p>
      <w:pPr>
        <w:spacing w:after="60"/>
      </w:pPr>
      <w:r>
        <w:rPr>
          <w:b/>
        </w:rPr>
        <w:t xml:space="preserve">Normalisation before scoring. </w:t>
      </w:r>
      <w:r>
        <w:rPr>
          <w:b w:val="0"/>
        </w:rPr>
        <w:t>Arabic characters are mapped to Persian, diacritics removed, punctuation stripped and whitespace collapsed. Zero-width non-joiners are deliberately left alone, so می‌رود and می رود remain two different strings and the difference between them is counted — the consequences of that are measured in Task 4.</w:t>
      </w:r>
    </w:p>
    <w:p>
      <w:pPr>
        <w:spacing w:after="80"/>
      </w:pPr>
      <w:r>
        <w:rPr>
          <w:i w:val="0"/>
        </w:rPr>
        <w:t>Punctuation needs stating carefully, because it is easy to describe wrongly. It is present in the training labels: 31,813 of 39,332 records, 80.9%, contain at least one character the scorer strips. The model is trained to produce it and does. It is stripped from both sides at scoring time for a different reason — the references punctuate inconsistently, so charging the model for reproducing that inconsistency would measure the annotators' typography rather than transcription. The model is not being excused for something it cannot do; it is being scored on the part of the output that is well defined.</w:t>
      </w:r>
    </w:p>
    <w:p>
      <w:pPr>
        <w:spacing w:after="80"/>
      </w:pPr>
      <w:r>
        <w:rPr>
          <w:i w:val="0"/>
        </w:rPr>
        <w:t>That makes the reported figures lower than raw ones, so both are given rather than only the flattering half:</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4896"/>
            <w:shd w:val="clear" w:fill="DCE6F1"/>
          </w:tcPr>
          <w:p>
            <w:pPr>
              <w:spacing w:before="20" w:after="20"/>
            </w:pPr>
            <w:r/>
            <w:r>
              <w:rPr>
                <w:b/>
                <w:sz w:val="18"/>
              </w:rPr>
              <w:t>Scored over the same 200 validation utterances</w:t>
            </w:r>
          </w:p>
        </w:tc>
        <w:tc>
          <w:tcPr>
            <w:tcW w:type="dxa" w:w="1296"/>
            <w:shd w:val="clear" w:fill="DCE6F1"/>
          </w:tcPr>
          <w:p>
            <w:pPr>
              <w:spacing w:before="20" w:after="20"/>
            </w:pPr>
            <w:r/>
            <w:r>
              <w:rPr>
                <w:b/>
                <w:sz w:val="18"/>
              </w:rPr>
              <w:t>WER</w:t>
            </w:r>
          </w:p>
        </w:tc>
        <w:tc>
          <w:tcPr>
            <w:tcW w:type="dxa" w:w="1296"/>
            <w:shd w:val="clear" w:fill="DCE6F1"/>
          </w:tcPr>
          <w:p>
            <w:pPr>
              <w:spacing w:before="20" w:after="20"/>
            </w:pPr>
            <w:r/>
            <w:r>
              <w:rPr>
                <w:b/>
                <w:sz w:val="18"/>
              </w:rPr>
              <w:t>CER</w:t>
            </w:r>
          </w:p>
        </w:tc>
        <w:tc>
          <w:tcPr>
            <w:tcW w:type="dxa" w:w="2016"/>
            <w:shd w:val="clear" w:fill="DCE6F1"/>
          </w:tcPr>
          <w:p>
            <w:pPr>
              <w:spacing w:before="20" w:after="20"/>
            </w:pPr>
            <w:r/>
            <w:r>
              <w:rPr>
                <w:b/>
                <w:sz w:val="18"/>
              </w:rPr>
              <w:t>Exact matches</w:t>
            </w:r>
          </w:p>
        </w:tc>
      </w:tr>
      <w:tr>
        <w:trPr>
          <w:cantSplit/>
        </w:trPr>
        <w:tc>
          <w:tcPr>
            <w:tcW w:type="dxa" w:w="4896"/>
          </w:tcPr>
          <w:p>
            <w:pPr>
              <w:spacing w:before="20" w:after="20"/>
            </w:pPr>
            <w:r/>
            <w:r>
              <w:rPr>
                <w:b w:val="0"/>
                <w:sz w:val="18"/>
              </w:rPr>
              <w:t>Raw — punctuation and character variants kept</w:t>
            </w:r>
          </w:p>
        </w:tc>
        <w:tc>
          <w:tcPr>
            <w:tcW w:type="dxa" w:w="1296"/>
          </w:tcPr>
          <w:p>
            <w:pPr>
              <w:spacing w:before="20" w:after="20"/>
              <w:jc w:val="right"/>
            </w:pPr>
            <w:r/>
            <w:r>
              <w:rPr>
                <w:b w:val="0"/>
                <w:sz w:val="18"/>
              </w:rPr>
              <w:t>10.76%</w:t>
            </w:r>
          </w:p>
        </w:tc>
        <w:tc>
          <w:tcPr>
            <w:tcW w:type="dxa" w:w="1296"/>
          </w:tcPr>
          <w:p>
            <w:pPr>
              <w:spacing w:before="20" w:after="20"/>
              <w:jc w:val="right"/>
            </w:pPr>
            <w:r/>
            <w:r>
              <w:rPr>
                <w:b w:val="0"/>
                <w:sz w:val="18"/>
              </w:rPr>
              <w:t>2.52%</w:t>
            </w:r>
          </w:p>
        </w:tc>
        <w:tc>
          <w:tcPr>
            <w:tcW w:type="dxa" w:w="2016"/>
          </w:tcPr>
          <w:p>
            <w:pPr>
              <w:spacing w:before="20" w:after="20"/>
              <w:jc w:val="right"/>
            </w:pPr>
            <w:r/>
            <w:r>
              <w:rPr>
                <w:b w:val="0"/>
                <w:sz w:val="18"/>
              </w:rPr>
              <w:t>101  (50.5%)</w:t>
            </w:r>
          </w:p>
        </w:tc>
      </w:tr>
      <w:tr>
        <w:trPr>
          <w:cantSplit/>
        </w:trPr>
        <w:tc>
          <w:tcPr>
            <w:tcW w:type="dxa" w:w="4896"/>
          </w:tcPr>
          <w:p>
            <w:pPr>
              <w:spacing w:before="20" w:after="20"/>
            </w:pPr>
            <w:r/>
            <w:r>
              <w:rPr>
                <w:b w:val="0"/>
                <w:sz w:val="18"/>
              </w:rPr>
              <w:t>Normalised — the scoring method used throughout</w:t>
            </w:r>
          </w:p>
        </w:tc>
        <w:tc>
          <w:tcPr>
            <w:tcW w:type="dxa" w:w="1296"/>
          </w:tcPr>
          <w:p>
            <w:pPr>
              <w:spacing w:before="20" w:after="20"/>
              <w:jc w:val="right"/>
            </w:pPr>
            <w:r/>
            <w:r>
              <w:rPr>
                <w:b w:val="0"/>
                <w:sz w:val="18"/>
              </w:rPr>
              <w:t>8.74%</w:t>
            </w:r>
          </w:p>
        </w:tc>
        <w:tc>
          <w:tcPr>
            <w:tcW w:type="dxa" w:w="1296"/>
          </w:tcPr>
          <w:p>
            <w:pPr>
              <w:spacing w:before="20" w:after="20"/>
              <w:jc w:val="right"/>
            </w:pPr>
            <w:r/>
            <w:r>
              <w:rPr>
                <w:b w:val="0"/>
                <w:sz w:val="18"/>
              </w:rPr>
              <w:t>2.14%</w:t>
            </w:r>
          </w:p>
        </w:tc>
        <w:tc>
          <w:tcPr>
            <w:tcW w:type="dxa" w:w="2016"/>
          </w:tcPr>
          <w:p>
            <w:pPr>
              <w:spacing w:before="20" w:after="20"/>
              <w:jc w:val="right"/>
            </w:pPr>
            <w:r/>
            <w:r>
              <w:rPr>
                <w:b w:val="0"/>
                <w:sz w:val="18"/>
              </w:rPr>
              <w:t>115  (57.5%)</w:t>
            </w:r>
          </w:p>
        </w:tc>
      </w:tr>
    </w:tbl>
    <w:p>
      <w:pPr>
        <w:spacing w:after="20"/>
      </w:pPr>
    </w:p>
    <w:p>
      <w:r>
        <w:rPr>
          <w:i w:val="0"/>
        </w:rPr>
        <w:t>Punctuation and character variants are worth about two WER points. A deployment that needs punctuated output should read the raw column, because that is what a reader would see; the normalised column measures transcription rather than typography. The training pipeline logs only the normalised metric, which is the more useful default but hides this gap — printing both at every evaluation would be the better choice, and is a change I would make.</w:t>
      </w:r>
    </w:p>
    <w:p>
      <w:r>
        <w:rPr>
          <w:b/>
        </w:rPr>
        <w:t xml:space="preserve">These 200 utterances are used only to separate the two scoring methods. </w:t>
      </w:r>
      <w:r>
        <w:rPr>
          <w:b w:val="0"/>
        </w:rPr>
        <w:t>The headline WER of 8.05% comes from the full 5,900-row evaluation; 8.74% is the same model measured on a 200-row subsample. The same effect is visible in the evaluation history below: the 500-row in-training subset scored 8.17% where the full split scored 8.05%, and 200 rows scatter more than 500. Nothing in this document rests on the difference between them.</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Pr>
        <w:t>[EVAL SUBSET] Periodic evaluation will use 500 of 5,900 validation rows</w:t>
        <w:br/>
        <w:t xml:space="preserve">              (deterministic, seed=42). Use --final_full_eval to report final</w:t>
        <w:br/>
        <w:t xml:space="preserve">              metrics on the full split.</w:t>
      </w:r>
    </w:p>
    <w:p>
      <w:r>
        <w:rPr>
          <w:b/>
        </w:rPr>
        <w:t xml:space="preserve">Three sample sizes appear in this document, which is worth stating once. </w:t>
      </w:r>
      <w:r>
        <w:rPr>
          <w:b w:val="0"/>
        </w:rPr>
        <w:t>5,900 rows is the full validation split and the source of every headline figure. 500 rows is the fixed subset used for the in-training evaluations, chosen so five evaluations cost 49 minutes rather than nine hours. 200 rows is a separate sample drawn for the error analysis in Task 4, and reused here for the raw-versus-normalised comparison and the baseline in section 9, because both of those need per-utterance predictions on disk rather than an aggregate. Every comparison is made within one sample size, never across two.</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minimum versions declared in requirements.txt — see the limitation noted in section 10</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What the fine-tuning actually bought</w:t>
      </w:r>
    </w:p>
    <w:p>
      <w:pPr>
        <w:spacing w:after="80"/>
      </w:pPr>
      <w:r>
        <w:rPr>
          <w:i w:val="0"/>
        </w:rPr>
        <w:t>A WER of 8.05% means nothing on its own without knowing what the untouched model scores on the same audio. The baseline was measured by running the identical script with the adapter switched off — same 200 utterances, same seed, same preprocessing, same generation settings, so the only difference between the two columns is the adapter.</w:t>
      </w:r>
    </w:p>
    <w:p>
      <w:r>
        <w:rPr>
          <w:b/>
        </w:rPr>
        <w:t xml:space="preserve">Both columns are the 4-bit NF4 model. </w:t>
      </w:r>
      <w:r>
        <w:rPr>
          <w:b w:val="0"/>
        </w:rPr>
        <w:t>The baseline run used the same quantised load path as everything else, so 37.36% is whisper-large-v3 quantised to NF4 and not the original 16-bit release. That is the comparison worth having, because it isolates the adapter as the single variable, but it is a narrower claim than "Whisper's WER on Persian" and is not offered as one.</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3168"/>
            <w:shd w:val="clear" w:fill="DCE6F1"/>
          </w:tcPr>
          <w:p>
            <w:pPr>
              <w:spacing w:before="20" w:after="20"/>
            </w:pPr>
            <w:r/>
            <w:r>
              <w:rPr>
                <w:b/>
                <w:sz w:val="18"/>
              </w:rPr>
              <w:t>Scored over the same 200 utterances</w:t>
            </w:r>
          </w:p>
        </w:tc>
        <w:tc>
          <w:tcPr>
            <w:tcW w:type="dxa" w:w="2304"/>
            <w:shd w:val="clear" w:fill="DCE6F1"/>
          </w:tcPr>
          <w:p>
            <w:pPr>
              <w:spacing w:before="20" w:after="20"/>
            </w:pPr>
            <w:r/>
            <w:r>
              <w:rPr>
                <w:b/>
                <w:sz w:val="18"/>
              </w:rPr>
              <w:t>Base model, 4-bit</w:t>
            </w:r>
          </w:p>
        </w:tc>
        <w:tc>
          <w:tcPr>
            <w:tcW w:type="dxa" w:w="2016"/>
            <w:shd w:val="clear" w:fill="DCE6F1"/>
          </w:tcPr>
          <w:p>
            <w:pPr>
              <w:spacing w:before="20" w:after="20"/>
            </w:pPr>
            <w:r/>
            <w:r>
              <w:rPr>
                <w:b/>
                <w:sz w:val="18"/>
              </w:rPr>
              <w:t>After fine-tuning</w:t>
            </w:r>
          </w:p>
        </w:tc>
        <w:tc>
          <w:tcPr>
            <w:tcW w:type="dxa" w:w="2016"/>
            <w:shd w:val="clear" w:fill="DCE6F1"/>
          </w:tcPr>
          <w:p>
            <w:pPr>
              <w:spacing w:before="20" w:after="20"/>
            </w:pPr>
            <w:r/>
            <w:r>
              <w:rPr>
                <w:b/>
                <w:sz w:val="18"/>
              </w:rPr>
              <w:t>Change</w:t>
            </w:r>
          </w:p>
        </w:tc>
      </w:tr>
      <w:tr>
        <w:trPr>
          <w:cantSplit/>
        </w:trPr>
        <w:tc>
          <w:tcPr>
            <w:tcW w:type="dxa" w:w="3168"/>
          </w:tcPr>
          <w:p>
            <w:pPr>
              <w:spacing w:before="20" w:after="20"/>
            </w:pPr>
            <w:r/>
            <w:r>
              <w:rPr>
                <w:b w:val="0"/>
                <w:sz w:val="18"/>
              </w:rPr>
              <w:t>Corpus WER, normalised</w:t>
            </w:r>
          </w:p>
        </w:tc>
        <w:tc>
          <w:tcPr>
            <w:tcW w:type="dxa" w:w="2304"/>
          </w:tcPr>
          <w:p>
            <w:pPr>
              <w:spacing w:before="20" w:after="20"/>
              <w:jc w:val="right"/>
            </w:pPr>
            <w:r/>
            <w:r>
              <w:rPr>
                <w:b w:val="0"/>
                <w:sz w:val="18"/>
              </w:rPr>
              <w:t>37.36%</w:t>
            </w:r>
          </w:p>
        </w:tc>
        <w:tc>
          <w:tcPr>
            <w:tcW w:type="dxa" w:w="2016"/>
          </w:tcPr>
          <w:p>
            <w:pPr>
              <w:spacing w:before="20" w:after="20"/>
              <w:jc w:val="right"/>
            </w:pPr>
            <w:r/>
            <w:r>
              <w:rPr>
                <w:b w:val="0"/>
                <w:sz w:val="18"/>
              </w:rPr>
              <w:t>8.74%</w:t>
            </w:r>
          </w:p>
        </w:tc>
        <w:tc>
          <w:tcPr>
            <w:tcW w:type="dxa" w:w="2016"/>
          </w:tcPr>
          <w:p>
            <w:pPr>
              <w:spacing w:before="20" w:after="20"/>
              <w:jc w:val="right"/>
            </w:pPr>
            <w:r/>
            <w:r>
              <w:rPr>
                <w:b w:val="0"/>
                <w:sz w:val="18"/>
              </w:rPr>
              <w:t>−28.6 points</w:t>
            </w:r>
          </w:p>
        </w:tc>
      </w:tr>
      <w:tr>
        <w:trPr>
          <w:cantSplit/>
        </w:trPr>
        <w:tc>
          <w:tcPr>
            <w:tcW w:type="dxa" w:w="3168"/>
          </w:tcPr>
          <w:p>
            <w:pPr>
              <w:spacing w:before="20" w:after="20"/>
            </w:pPr>
            <w:r/>
            <w:r>
              <w:rPr>
                <w:b w:val="0"/>
                <w:sz w:val="18"/>
              </w:rPr>
              <w:t>Corpus CER, normalised</w:t>
            </w:r>
          </w:p>
        </w:tc>
        <w:tc>
          <w:tcPr>
            <w:tcW w:type="dxa" w:w="2304"/>
          </w:tcPr>
          <w:p>
            <w:pPr>
              <w:spacing w:before="20" w:after="20"/>
              <w:jc w:val="right"/>
            </w:pPr>
            <w:r/>
            <w:r>
              <w:rPr>
                <w:b w:val="0"/>
                <w:sz w:val="18"/>
              </w:rPr>
              <w:t>8.91%</w:t>
            </w:r>
          </w:p>
        </w:tc>
        <w:tc>
          <w:tcPr>
            <w:tcW w:type="dxa" w:w="2016"/>
          </w:tcPr>
          <w:p>
            <w:pPr>
              <w:spacing w:before="20" w:after="20"/>
              <w:jc w:val="right"/>
            </w:pPr>
            <w:r/>
            <w:r>
              <w:rPr>
                <w:b w:val="0"/>
                <w:sz w:val="18"/>
              </w:rPr>
              <w:t>2.14%</w:t>
            </w:r>
          </w:p>
        </w:tc>
        <w:tc>
          <w:tcPr>
            <w:tcW w:type="dxa" w:w="2016"/>
          </w:tcPr>
          <w:p>
            <w:pPr>
              <w:spacing w:before="20" w:after="20"/>
              <w:jc w:val="right"/>
            </w:pPr>
            <w:r/>
            <w:r>
              <w:rPr>
                <w:b w:val="0"/>
                <w:sz w:val="18"/>
              </w:rPr>
              <w:t>−6.8 points</w:t>
            </w:r>
          </w:p>
        </w:tc>
      </w:tr>
      <w:tr>
        <w:trPr>
          <w:cantSplit/>
        </w:trPr>
        <w:tc>
          <w:tcPr>
            <w:tcW w:type="dxa" w:w="3168"/>
          </w:tcPr>
          <w:p>
            <w:pPr>
              <w:spacing w:before="20" w:after="20"/>
            </w:pPr>
            <w:r/>
            <w:r>
              <w:rPr>
                <w:b w:val="0"/>
                <w:sz w:val="18"/>
              </w:rPr>
              <w:t>Corpus WER, raw</w:t>
            </w:r>
          </w:p>
        </w:tc>
        <w:tc>
          <w:tcPr>
            <w:tcW w:type="dxa" w:w="2304"/>
          </w:tcPr>
          <w:p>
            <w:pPr>
              <w:spacing w:before="20" w:after="20"/>
              <w:jc w:val="right"/>
            </w:pPr>
            <w:r/>
            <w:r>
              <w:rPr>
                <w:b w:val="0"/>
                <w:sz w:val="18"/>
              </w:rPr>
              <w:t>40.97%</w:t>
            </w:r>
          </w:p>
        </w:tc>
        <w:tc>
          <w:tcPr>
            <w:tcW w:type="dxa" w:w="2016"/>
          </w:tcPr>
          <w:p>
            <w:pPr>
              <w:spacing w:before="20" w:after="20"/>
              <w:jc w:val="right"/>
            </w:pPr>
            <w:r/>
            <w:r>
              <w:rPr>
                <w:b w:val="0"/>
                <w:sz w:val="18"/>
              </w:rPr>
              <w:t>10.76%</w:t>
            </w:r>
          </w:p>
        </w:tc>
        <w:tc>
          <w:tcPr>
            <w:tcW w:type="dxa" w:w="2016"/>
          </w:tcPr>
          <w:p>
            <w:pPr>
              <w:spacing w:before="20" w:after="20"/>
              <w:jc w:val="right"/>
            </w:pPr>
            <w:r/>
            <w:r>
              <w:rPr>
                <w:b w:val="0"/>
                <w:sz w:val="18"/>
              </w:rPr>
              <w:t>−30.2 points</w:t>
            </w:r>
          </w:p>
        </w:tc>
      </w:tr>
      <w:tr>
        <w:trPr>
          <w:cantSplit/>
        </w:trPr>
        <w:tc>
          <w:tcPr>
            <w:tcW w:type="dxa" w:w="3168"/>
          </w:tcPr>
          <w:p>
            <w:pPr>
              <w:spacing w:before="20" w:after="20"/>
            </w:pPr>
            <w:r/>
            <w:r>
              <w:rPr>
                <w:b w:val="0"/>
                <w:sz w:val="18"/>
              </w:rPr>
              <w:t>Utterances transcribed exactly</w:t>
            </w:r>
          </w:p>
        </w:tc>
        <w:tc>
          <w:tcPr>
            <w:tcW w:type="dxa" w:w="2304"/>
          </w:tcPr>
          <w:p>
            <w:pPr>
              <w:spacing w:before="20" w:after="20"/>
              <w:jc w:val="right"/>
            </w:pPr>
            <w:r/>
            <w:r>
              <w:rPr>
                <w:b w:val="0"/>
                <w:sz w:val="18"/>
              </w:rPr>
              <w:t>23  (11.5%)</w:t>
            </w:r>
          </w:p>
        </w:tc>
        <w:tc>
          <w:tcPr>
            <w:tcW w:type="dxa" w:w="2016"/>
          </w:tcPr>
          <w:p>
            <w:pPr>
              <w:spacing w:before="20" w:after="20"/>
              <w:jc w:val="right"/>
            </w:pPr>
            <w:r/>
            <w:r>
              <w:rPr>
                <w:b w:val="0"/>
                <w:sz w:val="18"/>
              </w:rPr>
              <w:t>115  (57.5%)</w:t>
            </w:r>
          </w:p>
        </w:tc>
        <w:tc>
          <w:tcPr>
            <w:tcW w:type="dxa" w:w="2016"/>
          </w:tcPr>
          <w:p>
            <w:pPr>
              <w:spacing w:before="20" w:after="20"/>
              <w:jc w:val="right"/>
            </w:pPr>
            <w:r/>
            <w:r>
              <w:rPr>
                <w:b w:val="0"/>
                <w:sz w:val="18"/>
              </w:rPr>
              <w:t>5× more</w:t>
            </w:r>
          </w:p>
        </w:tc>
      </w:tr>
      <w:tr>
        <w:trPr>
          <w:cantSplit/>
        </w:trPr>
        <w:tc>
          <w:tcPr>
            <w:tcW w:type="dxa" w:w="3168"/>
          </w:tcPr>
          <w:p>
            <w:pPr>
              <w:spacing w:before="20" w:after="20"/>
            </w:pPr>
            <w:r/>
            <w:r>
              <w:rPr>
                <w:b w:val="0"/>
                <w:sz w:val="18"/>
              </w:rPr>
              <w:t>Predictions containing a digit</w:t>
            </w:r>
          </w:p>
        </w:tc>
        <w:tc>
          <w:tcPr>
            <w:tcW w:type="dxa" w:w="2304"/>
          </w:tcPr>
          <w:p>
            <w:pPr>
              <w:spacing w:before="20" w:after="20"/>
              <w:jc w:val="right"/>
            </w:pPr>
            <w:r/>
            <w:r>
              <w:rPr>
                <w:b w:val="0"/>
                <w:sz w:val="18"/>
              </w:rPr>
              <w:t>4</w:t>
            </w:r>
          </w:p>
        </w:tc>
        <w:tc>
          <w:tcPr>
            <w:tcW w:type="dxa" w:w="2016"/>
          </w:tcPr>
          <w:p>
            <w:pPr>
              <w:spacing w:before="20" w:after="20"/>
              <w:jc w:val="right"/>
            </w:pPr>
            <w:r/>
            <w:r>
              <w:rPr>
                <w:b w:val="0"/>
                <w:sz w:val="18"/>
              </w:rPr>
              <w:t>0</w:t>
            </w:r>
          </w:p>
        </w:tc>
        <w:tc>
          <w:tcPr>
            <w:tcW w:type="dxa" w:w="2016"/>
          </w:tcPr>
          <w:p>
            <w:pPr>
              <w:spacing w:before="20" w:after="20"/>
              <w:jc w:val="right"/>
            </w:pPr>
            <w:r/>
            <w:r>
              <w:rPr>
                <w:b w:val="0"/>
                <w:sz w:val="18"/>
              </w:rPr>
              <w:t>eliminated</w:t>
            </w:r>
          </w:p>
        </w:tc>
      </w:tr>
      <w:tr>
        <w:trPr>
          <w:cantSplit/>
        </w:trPr>
        <w:tc>
          <w:tcPr>
            <w:tcW w:type="dxa" w:w="3168"/>
          </w:tcPr>
          <w:p>
            <w:pPr>
              <w:spacing w:before="20" w:after="20"/>
            </w:pPr>
            <w:r/>
            <w:r>
              <w:rPr>
                <w:b w:val="0"/>
                <w:sz w:val="18"/>
              </w:rPr>
              <w:t>Predictions using a ZWNJ</w:t>
            </w:r>
          </w:p>
        </w:tc>
        <w:tc>
          <w:tcPr>
            <w:tcW w:type="dxa" w:w="2304"/>
          </w:tcPr>
          <w:p>
            <w:pPr>
              <w:spacing w:before="20" w:after="20"/>
              <w:jc w:val="right"/>
            </w:pPr>
            <w:r/>
            <w:r>
              <w:rPr>
                <w:b w:val="0"/>
                <w:sz w:val="18"/>
              </w:rPr>
              <w:t>0</w:t>
            </w:r>
          </w:p>
        </w:tc>
        <w:tc>
          <w:tcPr>
            <w:tcW w:type="dxa" w:w="2016"/>
          </w:tcPr>
          <w:p>
            <w:pPr>
              <w:spacing w:before="20" w:after="20"/>
              <w:jc w:val="right"/>
            </w:pPr>
            <w:r/>
            <w:r>
              <w:rPr>
                <w:b w:val="0"/>
                <w:sz w:val="18"/>
              </w:rPr>
              <w:t>116</w:t>
            </w:r>
          </w:p>
        </w:tc>
        <w:tc>
          <w:tcPr>
            <w:tcW w:type="dxa" w:w="2016"/>
          </w:tcPr>
          <w:p>
            <w:pPr>
              <w:spacing w:before="20" w:after="20"/>
              <w:jc w:val="right"/>
            </w:pPr>
            <w:r/>
            <w:r>
              <w:rPr>
                <w:b w:val="0"/>
                <w:sz w:val="18"/>
              </w:rPr>
              <w:t>learned</w:t>
            </w:r>
          </w:p>
        </w:tc>
      </w:tr>
    </w:tbl>
    <w:p>
      <w:pPr>
        <w:spacing w:after="20"/>
      </w:pPr>
    </w:p>
    <w:p>
      <w:r>
        <w:rPr>
          <w:i w:val="0"/>
        </w:rPr>
        <w:t>Word error rate fell to roughly a quarter of the baseline, and the number of utterances that come back exactly right went up fivefold. Those are the figures that describe what the training run was for.</w:t>
      </w:r>
    </w:p>
    <w:p>
      <w:r>
        <w:rPr>
          <w:b/>
        </w:rPr>
        <w:t xml:space="preserve">The last two rows are the more interesting ones. </w:t>
      </w:r>
      <w:r>
        <w:rPr>
          <w:b w:val="0"/>
        </w:rPr>
        <w:t>The base model produced digits four times, writing 99% where the reference has the number spelled out — exactly the mismatch the Task 1 lexicalisation was meant to remove, and the fine-tuned model never does it. More strikingly, the base model did not use a zero-width non-joiner once in 200 predictions, while the references use one in 118 of them and the fine-tuned model in 116. Whisper writes Persian compounds with plain spaces; this corpus does not. Learning that convention is invisible in the WER headline but is a large part of what the adapter actually learned.</w:t>
      </w:r>
    </w:p>
    <w:p>
      <w:pPr>
        <w:pStyle w:val="Heading1"/>
      </w:pPr>
      <w:r>
        <w:t>10. 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Pr>
        <w:t xml:space="preserve">What the third ablation produced. </w:t>
      </w:r>
      <w:r>
        <w:rPr>
          <w:b w:val="0"/>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11.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 The same applies to the choice of target modules: adapting only q_proj and v_proj is the conservative option, and extending it to k_proj, out_proj or the feed-forward projections would raise the trainable share above 1.01% at some extra cost per step. Whether that buys accuracy on this corpus is untested — with one training run available, it was not a question that could be answered.</w:t>
      </w:r>
    </w:p>
    <w:p>
      <w:pPr>
        <w:pStyle w:val="ListBullet"/>
        <w:spacing w:after="40"/>
      </w:pPr>
      <w:r>
        <w:rPr>
          <w:b/>
        </w:rPr>
        <w:t xml:space="preserve">No dependency lock. </w:t>
      </w:r>
      <w:r>
        <w:t>requirements.txt declares minimum versions, not exact ones, and the run's environment was not captured with pip freeze before the machine was released. Seeds, configuration and data are all fixed, so the pipeline is reproducible in every respect except the library versions it runs against — and that gap is real: this project already lost a run to datasets ≥ 3 changing what the audio column returns. The inference container does not share the problem, since requirements-docker.txt pins every version exactly; the training side should be given the same treatment.</w:t>
      </w:r>
    </w:p>
    <w:p>
      <w:pPr>
        <w:pStyle w:val="ListBullet"/>
        <w:spacing w:after="40"/>
      </w:pPr>
      <w:r>
        <w:rPr>
          <w:b/>
        </w:rPr>
        <w:t xml:space="preserve">Limited ablation. </w:t>
      </w:r>
      <w: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