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Pr>
        <w:t>Task 3 — Analysis of the Learning Process  (extended reading copy)</w:t>
      </w:r>
    </w:p>
    <w:p>
      <w:pPr>
        <w:spacing w:after="180"/>
      </w:pPr>
      <w:r>
        <w:rPr>
          <w:i/>
          <w:color w:val="595959"/>
          <w:sz w:val="19"/>
        </w:rPr>
        <w:t>Neyshekar Persian ASR · 3 epochs, 6,270 optimizer steps on a single NVIDIA L4</w:t>
      </w:r>
    </w:p>
    <w:p>
      <w:pPr>
        <w:pStyle w:val="Heading1"/>
      </w:pPr>
      <w:r>
        <w:t>1. What was measured, and how</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1872"/>
            <w:shd w:val="clear" w:fill="DCE6F1"/>
          </w:tcPr>
          <w:p>
            <w:pPr>
              <w:spacing w:before="20" w:after="20"/>
            </w:pPr>
            <w:r/>
            <w:r>
              <w:rPr>
                <w:b/>
                <w:sz w:val="18"/>
              </w:rPr>
              <w:t>Quantity</w:t>
            </w:r>
          </w:p>
        </w:tc>
        <w:tc>
          <w:tcPr>
            <w:tcW w:type="dxa" w:w="1872"/>
            <w:shd w:val="clear" w:fill="DCE6F1"/>
          </w:tcPr>
          <w:p>
            <w:pPr>
              <w:spacing w:before="20" w:after="20"/>
            </w:pPr>
            <w:r/>
            <w:r>
              <w:rPr>
                <w:b/>
                <w:sz w:val="18"/>
              </w:rPr>
              <w:t>Frequency</w:t>
            </w:r>
          </w:p>
        </w:tc>
        <w:tc>
          <w:tcPr>
            <w:tcW w:type="dxa" w:w="5760"/>
            <w:shd w:val="clear" w:fill="DCE6F1"/>
          </w:tcPr>
          <w:p>
            <w:pPr>
              <w:spacing w:before="20" w:after="20"/>
            </w:pPr>
            <w:r/>
            <w:r>
              <w:rPr>
                <w:b/>
                <w:sz w:val="18"/>
              </w:rPr>
              <w:t>How it is computed</w:t>
            </w:r>
          </w:p>
        </w:tc>
      </w:tr>
      <w:tr>
        <w:trPr>
          <w:cantSplit/>
        </w:trPr>
        <w:tc>
          <w:tcPr>
            <w:tcW w:type="dxa" w:w="1872"/>
          </w:tcPr>
          <w:p>
            <w:pPr>
              <w:spacing w:before="20" w:after="20"/>
            </w:pPr>
            <w:r/>
            <w:r>
              <w:rPr>
                <w:b w:val="0"/>
                <w:sz w:val="18"/>
              </w:rPr>
              <w:t>Training loss</w:t>
            </w:r>
          </w:p>
        </w:tc>
        <w:tc>
          <w:tcPr>
            <w:tcW w:type="dxa" w:w="1872"/>
          </w:tcPr>
          <w:p>
            <w:pPr>
              <w:spacing w:before="20" w:after="20"/>
            </w:pPr>
            <w:r/>
            <w:r>
              <w:rPr>
                <w:b w:val="0"/>
                <w:sz w:val="18"/>
              </w:rPr>
              <w:t>every 10 steps</w:t>
            </w:r>
          </w:p>
        </w:tc>
        <w:tc>
          <w:tcPr>
            <w:tcW w:type="dxa" w:w="5760"/>
          </w:tcPr>
          <w:p>
            <w:pPr>
              <w:spacing w:before="20" w:after="20"/>
            </w:pPr>
            <w:r/>
            <w:r>
              <w:rPr>
                <w:b w:val="0"/>
                <w:sz w:val="18"/>
              </w:rPr>
              <w:t>teacher-forced cross-entropy on the training batch</w:t>
            </w:r>
          </w:p>
        </w:tc>
      </w:tr>
      <w:tr>
        <w:trPr>
          <w:cantSplit/>
        </w:trPr>
        <w:tc>
          <w:tcPr>
            <w:tcW w:type="dxa" w:w="1872"/>
          </w:tcPr>
          <w:p>
            <w:pPr>
              <w:spacing w:before="20" w:after="20"/>
            </w:pPr>
            <w:r/>
            <w:r>
              <w:rPr>
                <w:b w:val="0"/>
                <w:sz w:val="18"/>
              </w:rPr>
              <w:t>Validation loss</w:t>
            </w:r>
          </w:p>
        </w:tc>
        <w:tc>
          <w:tcPr>
            <w:tcW w:type="dxa" w:w="1872"/>
          </w:tcPr>
          <w:p>
            <w:pPr>
              <w:spacing w:before="20" w:after="20"/>
            </w:pPr>
            <w:r/>
            <w:r>
              <w:rPr>
                <w:b w:val="0"/>
                <w:sz w:val="18"/>
              </w:rPr>
              <w:t>every 1,500 steps</w:t>
            </w:r>
          </w:p>
        </w:tc>
        <w:tc>
          <w:tcPr>
            <w:tcW w:type="dxa" w:w="5760"/>
          </w:tcPr>
          <w:p>
            <w:pPr>
              <w:spacing w:before="20" w:after="20"/>
            </w:pPr>
            <w:r/>
            <w:r>
              <w:rPr>
                <w:b w:val="0"/>
                <w:sz w:val="18"/>
              </w:rPr>
              <w:t>teacher-forced cross-entropy on held-out data</w:t>
            </w:r>
          </w:p>
        </w:tc>
      </w:tr>
      <w:tr>
        <w:trPr>
          <w:cantSplit/>
        </w:trPr>
        <w:tc>
          <w:tcPr>
            <w:tcW w:type="dxa" w:w="1872"/>
          </w:tcPr>
          <w:p>
            <w:pPr>
              <w:spacing w:before="20" w:after="20"/>
            </w:pPr>
            <w:r/>
            <w:r>
              <w:rPr>
                <w:b w:val="0"/>
                <w:sz w:val="18"/>
              </w:rPr>
              <w:t>WER and CER</w:t>
            </w:r>
          </w:p>
        </w:tc>
        <w:tc>
          <w:tcPr>
            <w:tcW w:type="dxa" w:w="1872"/>
          </w:tcPr>
          <w:p>
            <w:pPr>
              <w:spacing w:before="20" w:after="20"/>
            </w:pPr>
            <w:r/>
            <w:r>
              <w:rPr>
                <w:b w:val="0"/>
                <w:sz w:val="18"/>
              </w:rPr>
              <w:t>every 1,500 steps</w:t>
            </w:r>
          </w:p>
        </w:tc>
        <w:tc>
          <w:tcPr>
            <w:tcW w:type="dxa" w:w="5760"/>
          </w:tcPr>
          <w:p>
            <w:pPr>
              <w:spacing w:before="20" w:after="20"/>
            </w:pPr>
            <w:r/>
            <w:r>
              <w:rPr>
                <w:b w:val="0"/>
                <w:sz w:val="18"/>
              </w:rPr>
              <w:t>free autoregressive generation, then compared to the reference</w:t>
            </w:r>
          </w:p>
        </w:tc>
      </w:tr>
    </w:tbl>
    <w:p>
      <w:pPr>
        <w:spacing w:after="20"/>
      </w:pPr>
    </w:p>
    <w:p>
      <w:r>
        <w:rPr>
          <w:i w:val="0"/>
        </w:rPr>
        <w:t>That gives 627 training-loss points and five evaluation points across the run.</w:t>
      </w:r>
    </w:p>
    <w:p>
      <w:r>
        <w:rPr>
          <w:b/>
        </w:rPr>
        <w:t xml:space="preserve">Loss and error rate are not the same measurement. </w:t>
      </w:r>
      <w:r>
        <w:rPr>
          <w:b w:val="0"/>
        </w:rPr>
        <w:t>Loss is computed with teacher forcing: at every position the model is handed the correct previous tokens and only has to predict the next one. WER and CER require it to generate the whole transcript unaided, so an early mistake propagates. The two can move independently, and the error rates are the harder test. This matters for reading everything below — a falling loss does not by itself mean the transcripts are getting better.</w:t>
      </w:r>
    </w:p>
    <w:p>
      <w:r>
        <w:rPr>
          <w:b/>
        </w:rPr>
        <w:t xml:space="preserve">The evaluation subset. </w:t>
      </w:r>
      <w:r>
        <w:rPr>
          <w:b w:val="0"/>
        </w:rPr>
        <w:t>Each in-training evaluation ran over a fixed, deterministically sampled 500-row subset of the validation split rather than all 5,900 rows. Generation is expensive: those five evaluations cost 49 minutes as it was, and the full split took 1 h 53 min on its own. The final reported metrics were measured over the whole split at the end. Where the two disagree, section 5 uses the disagreement rather than ignoring it.</w:t>
      </w:r>
    </w:p>
    <w:p>
      <w:pPr>
        <w:pStyle w:val="Heading1"/>
      </w:pPr>
      <w:r>
        <w:t>2. Results</w:t>
      </w:r>
    </w:p>
    <w:tbl>
      <w:tblPr>
        <w:tblStyle w:val="TableGrid"/>
        <w:jc w:val="center"/>
        <w:tblLayout w:type="fixed"/>
        <w:tblLook w:firstColumn="1" w:firstRow="1" w:lastColumn="0" w:lastRow="0" w:noHBand="0" w:noVBand="1" w:val="04A0"/>
        <w:tblW w:w="9216" w:type="dxa"/>
      </w:tblPr>
      <w:tblGrid>
        <w:gridCol w:w="1577"/>
        <w:gridCol w:w="1577"/>
        <w:gridCol w:w="1577"/>
        <w:gridCol w:w="1577"/>
        <w:gridCol w:w="1577"/>
        <w:gridCol w:w="1577"/>
      </w:tblGrid>
      <w:tr>
        <w:trPr>
          <w:tblHeader w:val="true"/>
        </w:trPr>
        <w:tc>
          <w:tcPr>
            <w:tcW w:type="dxa" w:w="2304"/>
            <w:shd w:val="clear" w:fill="DCE6F1"/>
          </w:tcPr>
          <w:p>
            <w:pPr>
              <w:spacing w:before="20" w:after="20"/>
            </w:pPr>
            <w:r/>
            <w:r>
              <w:rPr>
                <w:b/>
                <w:sz w:val="18"/>
              </w:rPr>
              <w:t>Step</w:t>
            </w:r>
          </w:p>
        </w:tc>
        <w:tc>
          <w:tcPr>
            <w:tcW w:type="dxa" w:w="1152"/>
            <w:shd w:val="clear" w:fill="DCE6F1"/>
          </w:tcPr>
          <w:p>
            <w:pPr>
              <w:spacing w:before="20" w:after="20"/>
            </w:pPr>
            <w:r/>
            <w:r>
              <w:rPr>
                <w:b/>
                <w:sz w:val="18"/>
              </w:rPr>
              <w:t>Epoch</w:t>
            </w:r>
          </w:p>
        </w:tc>
        <w:tc>
          <w:tcPr>
            <w:tcW w:type="dxa" w:w="1584"/>
            <w:shd w:val="clear" w:fill="DCE6F1"/>
          </w:tcPr>
          <w:p>
            <w:pPr>
              <w:spacing w:before="20" w:after="20"/>
            </w:pPr>
            <w:r/>
            <w:r>
              <w:rPr>
                <w:b/>
                <w:sz w:val="18"/>
              </w:rPr>
              <w:t>Train loss</w:t>
            </w:r>
          </w:p>
        </w:tc>
        <w:tc>
          <w:tcPr>
            <w:tcW w:type="dxa" w:w="1584"/>
            <w:shd w:val="clear" w:fill="DCE6F1"/>
          </w:tcPr>
          <w:p>
            <w:pPr>
              <w:spacing w:before="20" w:after="20"/>
            </w:pPr>
            <w:r/>
            <w:r>
              <w:rPr>
                <w:b/>
                <w:sz w:val="18"/>
              </w:rPr>
              <w:t>Val loss</w:t>
            </w:r>
          </w:p>
        </w:tc>
        <w:tc>
          <w:tcPr>
            <w:tcW w:type="dxa" w:w="1296"/>
            <w:shd w:val="clear" w:fill="DCE6F1"/>
          </w:tcPr>
          <w:p>
            <w:pPr>
              <w:spacing w:before="20" w:after="20"/>
            </w:pPr>
            <w:r/>
            <w:r>
              <w:rPr>
                <w:b/>
                <w:sz w:val="18"/>
              </w:rPr>
              <w:t>WER %</w:t>
            </w:r>
          </w:p>
        </w:tc>
        <w:tc>
          <w:tcPr>
            <w:tcW w:type="dxa" w:w="1296"/>
            <w:shd w:val="clear" w:fill="DCE6F1"/>
          </w:tcPr>
          <w:p>
            <w:pPr>
              <w:spacing w:before="20" w:after="20"/>
            </w:pPr>
            <w:r/>
            <w:r>
              <w:rPr>
                <w:b/>
                <w:sz w:val="18"/>
              </w:rPr>
              <w:t>CER %</w:t>
            </w:r>
          </w:p>
        </w:tc>
      </w:tr>
      <w:tr>
        <w:trPr>
          <w:cantSplit/>
        </w:trPr>
        <w:tc>
          <w:tcPr>
            <w:tcW w:type="dxa" w:w="2304"/>
          </w:tcPr>
          <w:p>
            <w:pPr>
              <w:spacing w:before="20" w:after="20"/>
            </w:pPr>
            <w:r/>
            <w:r>
              <w:rPr>
                <w:b w:val="0"/>
                <w:sz w:val="18"/>
              </w:rPr>
              <w:t>1,500</w:t>
            </w:r>
          </w:p>
        </w:tc>
        <w:tc>
          <w:tcPr>
            <w:tcW w:type="dxa" w:w="1152"/>
          </w:tcPr>
          <w:p>
            <w:pPr>
              <w:spacing w:before="20" w:after="20"/>
              <w:jc w:val="right"/>
            </w:pPr>
            <w:r/>
            <w:r>
              <w:rPr>
                <w:b w:val="0"/>
                <w:sz w:val="18"/>
              </w:rPr>
              <w:t>0.72</w:t>
            </w:r>
          </w:p>
        </w:tc>
        <w:tc>
          <w:tcPr>
            <w:tcW w:type="dxa" w:w="1584"/>
          </w:tcPr>
          <w:p>
            <w:pPr>
              <w:spacing w:before="20" w:after="20"/>
              <w:jc w:val="right"/>
            </w:pPr>
            <w:r/>
            <w:r>
              <w:rPr>
                <w:b w:val="0"/>
                <w:sz w:val="18"/>
              </w:rPr>
              <w:t>0.4192</w:t>
            </w:r>
          </w:p>
        </w:tc>
        <w:tc>
          <w:tcPr>
            <w:tcW w:type="dxa" w:w="1584"/>
          </w:tcPr>
          <w:p>
            <w:pPr>
              <w:spacing w:before="20" w:after="20"/>
              <w:jc w:val="right"/>
            </w:pPr>
            <w:r/>
            <w:r>
              <w:rPr>
                <w:b w:val="0"/>
                <w:sz w:val="18"/>
              </w:rPr>
              <w:t>0.16152</w:t>
            </w:r>
          </w:p>
        </w:tc>
        <w:tc>
          <w:tcPr>
            <w:tcW w:type="dxa" w:w="1296"/>
          </w:tcPr>
          <w:p>
            <w:pPr>
              <w:spacing w:before="20" w:after="20"/>
              <w:jc w:val="right"/>
            </w:pPr>
            <w:r/>
            <w:r>
              <w:rPr>
                <w:b w:val="0"/>
                <w:sz w:val="18"/>
              </w:rPr>
              <w:t>16.30</w:t>
            </w:r>
          </w:p>
        </w:tc>
        <w:tc>
          <w:tcPr>
            <w:tcW w:type="dxa" w:w="1296"/>
          </w:tcPr>
          <w:p>
            <w:pPr>
              <w:spacing w:before="20" w:after="20"/>
              <w:jc w:val="right"/>
            </w:pPr>
            <w:r/>
            <w:r>
              <w:rPr>
                <w:b w:val="0"/>
                <w:sz w:val="18"/>
              </w:rPr>
              <w:t>4.77</w:t>
            </w:r>
          </w:p>
        </w:tc>
      </w:tr>
      <w:tr>
        <w:trPr>
          <w:cantSplit/>
        </w:trPr>
        <w:tc>
          <w:tcPr>
            <w:tcW w:type="dxa" w:w="2304"/>
          </w:tcPr>
          <w:p>
            <w:pPr>
              <w:spacing w:before="20" w:after="20"/>
            </w:pPr>
            <w:r/>
            <w:r>
              <w:rPr>
                <w:b w:val="0"/>
                <w:sz w:val="18"/>
              </w:rPr>
              <w:t>3,000</w:t>
            </w:r>
          </w:p>
        </w:tc>
        <w:tc>
          <w:tcPr>
            <w:tcW w:type="dxa" w:w="1152"/>
          </w:tcPr>
          <w:p>
            <w:pPr>
              <w:spacing w:before="20" w:after="20"/>
              <w:jc w:val="right"/>
            </w:pPr>
            <w:r/>
            <w:r>
              <w:rPr>
                <w:b w:val="0"/>
                <w:sz w:val="18"/>
              </w:rPr>
              <w:t>1.44</w:t>
            </w:r>
          </w:p>
        </w:tc>
        <w:tc>
          <w:tcPr>
            <w:tcW w:type="dxa" w:w="1584"/>
          </w:tcPr>
          <w:p>
            <w:pPr>
              <w:spacing w:before="20" w:after="20"/>
              <w:jc w:val="right"/>
            </w:pPr>
            <w:r/>
            <w:r>
              <w:rPr>
                <w:b w:val="0"/>
                <w:sz w:val="18"/>
              </w:rPr>
              <w:t>0.2081</w:t>
            </w:r>
          </w:p>
        </w:tc>
        <w:tc>
          <w:tcPr>
            <w:tcW w:type="dxa" w:w="1584"/>
          </w:tcPr>
          <w:p>
            <w:pPr>
              <w:spacing w:before="20" w:after="20"/>
              <w:jc w:val="right"/>
            </w:pPr>
            <w:r/>
            <w:r>
              <w:rPr>
                <w:b w:val="0"/>
                <w:sz w:val="18"/>
              </w:rPr>
              <w:t>0.12877</w:t>
            </w:r>
          </w:p>
        </w:tc>
        <w:tc>
          <w:tcPr>
            <w:tcW w:type="dxa" w:w="1296"/>
          </w:tcPr>
          <w:p>
            <w:pPr>
              <w:spacing w:before="20" w:after="20"/>
              <w:jc w:val="right"/>
            </w:pPr>
            <w:r/>
            <w:r>
              <w:rPr>
                <w:b w:val="0"/>
                <w:sz w:val="18"/>
              </w:rPr>
              <w:t>12.50</w:t>
            </w:r>
          </w:p>
        </w:tc>
        <w:tc>
          <w:tcPr>
            <w:tcW w:type="dxa" w:w="1296"/>
          </w:tcPr>
          <w:p>
            <w:pPr>
              <w:spacing w:before="20" w:after="20"/>
              <w:jc w:val="right"/>
            </w:pPr>
            <w:r/>
            <w:r>
              <w:rPr>
                <w:b w:val="0"/>
                <w:sz w:val="18"/>
              </w:rPr>
              <w:t>3.12</w:t>
            </w:r>
          </w:p>
        </w:tc>
      </w:tr>
      <w:tr>
        <w:trPr>
          <w:cantSplit/>
        </w:trPr>
        <w:tc>
          <w:tcPr>
            <w:tcW w:type="dxa" w:w="2304"/>
          </w:tcPr>
          <w:p>
            <w:pPr>
              <w:spacing w:before="20" w:after="20"/>
            </w:pPr>
            <w:r/>
            <w:r>
              <w:rPr>
                <w:b w:val="0"/>
                <w:sz w:val="18"/>
              </w:rPr>
              <w:t>4,500</w:t>
            </w:r>
          </w:p>
        </w:tc>
        <w:tc>
          <w:tcPr>
            <w:tcW w:type="dxa" w:w="1152"/>
          </w:tcPr>
          <w:p>
            <w:pPr>
              <w:spacing w:before="20" w:after="20"/>
              <w:jc w:val="right"/>
            </w:pPr>
            <w:r/>
            <w:r>
              <w:rPr>
                <w:b w:val="0"/>
                <w:sz w:val="18"/>
              </w:rPr>
              <w:t>2.15</w:t>
            </w:r>
          </w:p>
        </w:tc>
        <w:tc>
          <w:tcPr>
            <w:tcW w:type="dxa" w:w="1584"/>
          </w:tcPr>
          <w:p>
            <w:pPr>
              <w:spacing w:before="20" w:after="20"/>
              <w:jc w:val="right"/>
            </w:pPr>
            <w:r/>
            <w:r>
              <w:rPr>
                <w:b w:val="0"/>
                <w:sz w:val="18"/>
              </w:rPr>
              <w:t>0.1110</w:t>
            </w:r>
          </w:p>
        </w:tc>
        <w:tc>
          <w:tcPr>
            <w:tcW w:type="dxa" w:w="1584"/>
          </w:tcPr>
          <w:p>
            <w:pPr>
              <w:spacing w:before="20" w:after="20"/>
              <w:jc w:val="right"/>
            </w:pPr>
            <w:r/>
            <w:r>
              <w:rPr>
                <w:b w:val="0"/>
                <w:sz w:val="18"/>
              </w:rPr>
              <w:t>0.10067</w:t>
            </w:r>
          </w:p>
        </w:tc>
        <w:tc>
          <w:tcPr>
            <w:tcW w:type="dxa" w:w="1296"/>
          </w:tcPr>
          <w:p>
            <w:pPr>
              <w:spacing w:before="20" w:after="20"/>
              <w:jc w:val="right"/>
            </w:pPr>
            <w:r/>
            <w:r>
              <w:rPr>
                <w:b w:val="0"/>
                <w:sz w:val="18"/>
              </w:rPr>
              <w:t>9.57</w:t>
            </w:r>
          </w:p>
        </w:tc>
        <w:tc>
          <w:tcPr>
            <w:tcW w:type="dxa" w:w="1296"/>
          </w:tcPr>
          <w:p>
            <w:pPr>
              <w:spacing w:before="20" w:after="20"/>
              <w:jc w:val="right"/>
            </w:pPr>
            <w:r/>
            <w:r>
              <w:rPr>
                <w:b w:val="0"/>
                <w:sz w:val="18"/>
              </w:rPr>
              <w:t>2.28</w:t>
            </w:r>
          </w:p>
        </w:tc>
      </w:tr>
      <w:tr>
        <w:trPr>
          <w:cantSplit/>
        </w:trPr>
        <w:tc>
          <w:tcPr>
            <w:tcW w:type="dxa" w:w="2304"/>
          </w:tcPr>
          <w:p>
            <w:pPr>
              <w:spacing w:before="20" w:after="20"/>
            </w:pPr>
            <w:r/>
            <w:r>
              <w:rPr>
                <w:b w:val="0"/>
                <w:sz w:val="18"/>
              </w:rPr>
              <w:t>6,000</w:t>
            </w:r>
          </w:p>
        </w:tc>
        <w:tc>
          <w:tcPr>
            <w:tcW w:type="dxa" w:w="1152"/>
          </w:tcPr>
          <w:p>
            <w:pPr>
              <w:spacing w:before="20" w:after="20"/>
              <w:jc w:val="right"/>
            </w:pPr>
            <w:r/>
            <w:r>
              <w:rPr>
                <w:b w:val="0"/>
                <w:sz w:val="18"/>
              </w:rPr>
              <w:t>2.87</w:t>
            </w:r>
          </w:p>
        </w:tc>
        <w:tc>
          <w:tcPr>
            <w:tcW w:type="dxa" w:w="1584"/>
          </w:tcPr>
          <w:p>
            <w:pPr>
              <w:spacing w:before="20" w:after="20"/>
              <w:jc w:val="right"/>
            </w:pPr>
            <w:r/>
            <w:r>
              <w:rPr>
                <w:b w:val="0"/>
                <w:sz w:val="18"/>
              </w:rPr>
              <w:t>0.0779</w:t>
            </w:r>
          </w:p>
        </w:tc>
        <w:tc>
          <w:tcPr>
            <w:tcW w:type="dxa" w:w="1584"/>
          </w:tcPr>
          <w:p>
            <w:pPr>
              <w:spacing w:before="20" w:after="20"/>
              <w:jc w:val="right"/>
            </w:pPr>
            <w:r/>
            <w:r>
              <w:rPr>
                <w:b w:val="0"/>
                <w:sz w:val="18"/>
              </w:rPr>
              <w:t>0.08704</w:t>
            </w:r>
          </w:p>
        </w:tc>
        <w:tc>
          <w:tcPr>
            <w:tcW w:type="dxa" w:w="1296"/>
          </w:tcPr>
          <w:p>
            <w:pPr>
              <w:spacing w:before="20" w:after="20"/>
              <w:jc w:val="right"/>
            </w:pPr>
            <w:r/>
            <w:r>
              <w:rPr>
                <w:b w:val="0"/>
                <w:sz w:val="18"/>
              </w:rPr>
              <w:t>8.19</w:t>
            </w:r>
          </w:p>
        </w:tc>
        <w:tc>
          <w:tcPr>
            <w:tcW w:type="dxa" w:w="1296"/>
          </w:tcPr>
          <w:p>
            <w:pPr>
              <w:spacing w:before="20" w:after="20"/>
              <w:jc w:val="right"/>
            </w:pPr>
            <w:r/>
            <w:r>
              <w:rPr>
                <w:b w:val="0"/>
                <w:sz w:val="18"/>
              </w:rPr>
              <w:t>1.94</w:t>
            </w:r>
          </w:p>
        </w:tc>
      </w:tr>
      <w:tr>
        <w:trPr>
          <w:cantSplit/>
        </w:trPr>
        <w:tc>
          <w:tcPr>
            <w:tcW w:type="dxa" w:w="2304"/>
          </w:tcPr>
          <w:p>
            <w:pPr>
              <w:spacing w:before="20" w:after="20"/>
            </w:pPr>
            <w:r/>
            <w:r>
              <w:rPr>
                <w:b w:val="0"/>
                <w:sz w:val="18"/>
              </w:rPr>
              <w:t>6,270</w:t>
            </w:r>
          </w:p>
        </w:tc>
        <w:tc>
          <w:tcPr>
            <w:tcW w:type="dxa" w:w="1152"/>
          </w:tcPr>
          <w:p>
            <w:pPr>
              <w:spacing w:before="20" w:after="20"/>
              <w:jc w:val="right"/>
            </w:pPr>
            <w:r/>
            <w:r>
              <w:rPr>
                <w:b w:val="0"/>
                <w:sz w:val="18"/>
              </w:rPr>
              <w:t>3.00</w:t>
            </w:r>
          </w:p>
        </w:tc>
        <w:tc>
          <w:tcPr>
            <w:tcW w:type="dxa" w:w="1584"/>
          </w:tcPr>
          <w:p>
            <w:pPr>
              <w:spacing w:before="20" w:after="20"/>
              <w:jc w:val="right"/>
            </w:pPr>
            <w:r/>
            <w:r>
              <w:rPr>
                <w:b w:val="0"/>
                <w:sz w:val="18"/>
              </w:rPr>
              <w:t>0.0678</w:t>
            </w:r>
          </w:p>
        </w:tc>
        <w:tc>
          <w:tcPr>
            <w:tcW w:type="dxa" w:w="1584"/>
          </w:tcPr>
          <w:p>
            <w:pPr>
              <w:spacing w:before="20" w:after="20"/>
              <w:jc w:val="right"/>
            </w:pPr>
            <w:r/>
            <w:r>
              <w:rPr>
                <w:b w:val="0"/>
                <w:sz w:val="18"/>
              </w:rPr>
              <w:t>0.08567</w:t>
            </w:r>
          </w:p>
        </w:tc>
        <w:tc>
          <w:tcPr>
            <w:tcW w:type="dxa" w:w="1296"/>
          </w:tcPr>
          <w:p>
            <w:pPr>
              <w:spacing w:before="20" w:after="20"/>
              <w:jc w:val="right"/>
            </w:pPr>
            <w:r/>
            <w:r>
              <w:rPr>
                <w:b w:val="0"/>
                <w:sz w:val="18"/>
              </w:rPr>
              <w:t>8.17</w:t>
            </w:r>
          </w:p>
        </w:tc>
        <w:tc>
          <w:tcPr>
            <w:tcW w:type="dxa" w:w="1296"/>
          </w:tcPr>
          <w:p>
            <w:pPr>
              <w:spacing w:before="20" w:after="20"/>
              <w:jc w:val="right"/>
            </w:pPr>
            <w:r/>
            <w:r>
              <w:rPr>
                <w:b w:val="0"/>
                <w:sz w:val="18"/>
              </w:rPr>
              <w:t>1.90</w:t>
            </w:r>
          </w:p>
        </w:tc>
      </w:tr>
      <w:tr>
        <w:trPr>
          <w:cantSplit/>
        </w:trPr>
        <w:tc>
          <w:tcPr>
            <w:tcW w:type="dxa" w:w="2304"/>
          </w:tcPr>
          <w:p>
            <w:pPr>
              <w:spacing w:before="20" w:after="20"/>
            </w:pPr>
            <w:r/>
            <w:r>
              <w:rPr>
                <w:b/>
                <w:sz w:val="18"/>
              </w:rPr>
              <w:t>final, all 5,900 rows</w:t>
            </w:r>
          </w:p>
        </w:tc>
        <w:tc>
          <w:tcPr>
            <w:tcW w:type="dxa" w:w="1152"/>
          </w:tcPr>
          <w:p>
            <w:pPr>
              <w:spacing w:before="20" w:after="20"/>
              <w:jc w:val="right"/>
            </w:pPr>
            <w:r/>
            <w:r>
              <w:rPr>
                <w:b/>
                <w:sz w:val="18"/>
              </w:rPr>
              <w:t>3.00</w:t>
            </w:r>
          </w:p>
        </w:tc>
        <w:tc>
          <w:tcPr>
            <w:tcW w:type="dxa" w:w="1584"/>
          </w:tcPr>
          <w:p>
            <w:pPr>
              <w:spacing w:before="20" w:after="20"/>
              <w:jc w:val="right"/>
            </w:pPr>
            <w:r/>
            <w:r>
              <w:rPr>
                <w:b/>
                <w:sz w:val="18"/>
              </w:rPr>
              <w:t>—</w:t>
            </w:r>
          </w:p>
        </w:tc>
        <w:tc>
          <w:tcPr>
            <w:tcW w:type="dxa" w:w="1584"/>
          </w:tcPr>
          <w:p>
            <w:pPr>
              <w:spacing w:before="20" w:after="20"/>
              <w:jc w:val="right"/>
            </w:pPr>
            <w:r/>
            <w:r>
              <w:rPr>
                <w:b/>
                <w:sz w:val="18"/>
              </w:rPr>
              <w:t>0.08627</w:t>
            </w:r>
          </w:p>
        </w:tc>
        <w:tc>
          <w:tcPr>
            <w:tcW w:type="dxa" w:w="1296"/>
          </w:tcPr>
          <w:p>
            <w:pPr>
              <w:spacing w:before="20" w:after="20"/>
              <w:jc w:val="right"/>
            </w:pPr>
            <w:r/>
            <w:r>
              <w:rPr>
                <w:b/>
                <w:sz w:val="18"/>
              </w:rPr>
              <w:t>8.05</w:t>
            </w:r>
          </w:p>
        </w:tc>
        <w:tc>
          <w:tcPr>
            <w:tcW w:type="dxa" w:w="1296"/>
          </w:tcPr>
          <w:p>
            <w:pPr>
              <w:spacing w:before="20" w:after="20"/>
              <w:jc w:val="right"/>
            </w:pPr>
            <w:r/>
            <w:r>
              <w:rPr>
                <w:b/>
                <w:sz w:val="18"/>
              </w:rPr>
              <w:t>2.00</w:t>
            </w:r>
          </w:p>
        </w:tc>
      </w:tr>
    </w:tbl>
    <w:p>
      <w:pPr>
        <w:spacing w:after="20"/>
      </w:pPr>
    </w:p>
    <w:p>
      <w:pPr>
        <w:spacing w:after="80"/>
      </w:pPr>
      <w:r>
        <w:rPr>
          <w:i w:val="0"/>
        </w:rPr>
        <w:t>The training-loss column is the single value logged at that step, and single values are noisy — each is the mean over 10 steps, or 160 samples. At step 1,500 the logged value is 0.4192 while the mean of the ten surrounding points is 0.3563. The trend matters more than any individual reading, which is why Figure 1 carries a moving average.</w:t>
      </w:r>
    </w:p>
    <w:tbl>
      <w:tblPr>
        <w:tblStyle w:val="TableGrid"/>
        <w:jc w:val="center"/>
        <w:tblLayout w:type="fixed"/>
        <w:tblLook w:firstColumn="1" w:firstRow="1" w:lastColumn="0" w:lastRow="0" w:noHBand="0" w:noVBand="1" w:val="04A0"/>
        <w:tblW w:w="8928" w:type="dxa"/>
      </w:tblPr>
      <w:tblGrid>
        <w:gridCol w:w="2365"/>
        <w:gridCol w:w="2365"/>
        <w:gridCol w:w="2365"/>
        <w:gridCol w:w="2365"/>
      </w:tblGrid>
      <w:tr>
        <w:trPr>
          <w:tblHeader w:val="true"/>
        </w:trPr>
        <w:tc>
          <w:tcPr>
            <w:tcW w:type="dxa" w:w="2304"/>
            <w:shd w:val="clear" w:fill="DCE6F1"/>
          </w:tcPr>
          <w:p>
            <w:pPr>
              <w:spacing w:before="20" w:after="20"/>
            </w:pPr>
            <w:r/>
            <w:r>
              <w:rPr>
                <w:b/>
                <w:sz w:val="18"/>
              </w:rPr>
            </w:r>
          </w:p>
        </w:tc>
        <w:tc>
          <w:tcPr>
            <w:tcW w:type="dxa" w:w="2304"/>
            <w:shd w:val="clear" w:fill="DCE6F1"/>
          </w:tcPr>
          <w:p>
            <w:pPr>
              <w:spacing w:before="20" w:after="20"/>
            </w:pPr>
            <w:r/>
            <w:r>
              <w:rPr>
                <w:b/>
                <w:sz w:val="18"/>
              </w:rPr>
              <w:t>First evaluation</w:t>
            </w:r>
          </w:p>
        </w:tc>
        <w:tc>
          <w:tcPr>
            <w:tcW w:type="dxa" w:w="2304"/>
            <w:shd w:val="clear" w:fill="DCE6F1"/>
          </w:tcPr>
          <w:p>
            <w:pPr>
              <w:spacing w:before="20" w:after="20"/>
            </w:pPr>
            <w:r/>
            <w:r>
              <w:rPr>
                <w:b/>
                <w:sz w:val="18"/>
              </w:rPr>
              <w:t>Last evaluation</w:t>
            </w:r>
          </w:p>
        </w:tc>
        <w:tc>
          <w:tcPr>
            <w:tcW w:type="dxa" w:w="2016"/>
            <w:shd w:val="clear" w:fill="DCE6F1"/>
          </w:tcPr>
          <w:p>
            <w:pPr>
              <w:spacing w:before="20" w:after="20"/>
            </w:pPr>
            <w:r/>
            <w:r>
              <w:rPr>
                <w:b/>
                <w:sz w:val="18"/>
              </w:rPr>
              <w:t>Reduction</w:t>
            </w:r>
          </w:p>
        </w:tc>
      </w:tr>
      <w:tr>
        <w:trPr>
          <w:cantSplit/>
        </w:trPr>
        <w:tc>
          <w:tcPr>
            <w:tcW w:type="dxa" w:w="2304"/>
          </w:tcPr>
          <w:p>
            <w:pPr>
              <w:spacing w:before="20" w:after="20"/>
            </w:pPr>
            <w:r/>
            <w:r>
              <w:rPr>
                <w:b w:val="0"/>
                <w:sz w:val="18"/>
              </w:rPr>
              <w:t>Validation loss</w:t>
            </w:r>
          </w:p>
        </w:tc>
        <w:tc>
          <w:tcPr>
            <w:tcW w:type="dxa" w:w="2304"/>
          </w:tcPr>
          <w:p>
            <w:pPr>
              <w:spacing w:before="20" w:after="20"/>
              <w:jc w:val="right"/>
            </w:pPr>
            <w:r/>
            <w:r>
              <w:rPr>
                <w:b w:val="0"/>
                <w:sz w:val="18"/>
              </w:rPr>
              <w:t>0.16152</w:t>
            </w:r>
          </w:p>
        </w:tc>
        <w:tc>
          <w:tcPr>
            <w:tcW w:type="dxa" w:w="2304"/>
          </w:tcPr>
          <w:p>
            <w:pPr>
              <w:spacing w:before="20" w:after="20"/>
              <w:jc w:val="right"/>
            </w:pPr>
            <w:r/>
            <w:r>
              <w:rPr>
                <w:b w:val="0"/>
                <w:sz w:val="18"/>
              </w:rPr>
              <w:t>0.08567</w:t>
            </w:r>
          </w:p>
        </w:tc>
        <w:tc>
          <w:tcPr>
            <w:tcW w:type="dxa" w:w="2016"/>
          </w:tcPr>
          <w:p>
            <w:pPr>
              <w:spacing w:before="20" w:after="20"/>
              <w:jc w:val="right"/>
            </w:pPr>
            <w:r/>
            <w:r>
              <w:rPr>
                <w:b w:val="0"/>
                <w:sz w:val="18"/>
              </w:rPr>
              <w:t>47.0%</w:t>
            </w:r>
          </w:p>
        </w:tc>
      </w:tr>
      <w:tr>
        <w:trPr>
          <w:cantSplit/>
        </w:trPr>
        <w:tc>
          <w:tcPr>
            <w:tcW w:type="dxa" w:w="2304"/>
          </w:tcPr>
          <w:p>
            <w:pPr>
              <w:spacing w:before="20" w:after="20"/>
            </w:pPr>
            <w:r/>
            <w:r>
              <w:rPr>
                <w:b w:val="0"/>
                <w:sz w:val="18"/>
              </w:rPr>
              <w:t>WER</w:t>
            </w:r>
          </w:p>
        </w:tc>
        <w:tc>
          <w:tcPr>
            <w:tcW w:type="dxa" w:w="2304"/>
          </w:tcPr>
          <w:p>
            <w:pPr>
              <w:spacing w:before="20" w:after="20"/>
              <w:jc w:val="right"/>
            </w:pPr>
            <w:r/>
            <w:r>
              <w:rPr>
                <w:b w:val="0"/>
                <w:sz w:val="18"/>
              </w:rPr>
              <w:t>16.30%</w:t>
            </w:r>
          </w:p>
        </w:tc>
        <w:tc>
          <w:tcPr>
            <w:tcW w:type="dxa" w:w="2304"/>
          </w:tcPr>
          <w:p>
            <w:pPr>
              <w:spacing w:before="20" w:after="20"/>
              <w:jc w:val="right"/>
            </w:pPr>
            <w:r/>
            <w:r>
              <w:rPr>
                <w:b w:val="0"/>
                <w:sz w:val="18"/>
              </w:rPr>
              <w:t>8.17%</w:t>
            </w:r>
          </w:p>
        </w:tc>
        <w:tc>
          <w:tcPr>
            <w:tcW w:type="dxa" w:w="2016"/>
          </w:tcPr>
          <w:p>
            <w:pPr>
              <w:spacing w:before="20" w:after="20"/>
              <w:jc w:val="right"/>
            </w:pPr>
            <w:r/>
            <w:r>
              <w:rPr>
                <w:b w:val="0"/>
                <w:sz w:val="18"/>
              </w:rPr>
              <w:t>49.9%</w:t>
            </w:r>
          </w:p>
        </w:tc>
      </w:tr>
      <w:tr>
        <w:trPr>
          <w:cantSplit/>
        </w:trPr>
        <w:tc>
          <w:tcPr>
            <w:tcW w:type="dxa" w:w="2304"/>
          </w:tcPr>
          <w:p>
            <w:pPr>
              <w:spacing w:before="20" w:after="20"/>
            </w:pPr>
            <w:r/>
            <w:r>
              <w:rPr>
                <w:b w:val="0"/>
                <w:sz w:val="18"/>
              </w:rPr>
              <w:t>CER</w:t>
            </w:r>
          </w:p>
        </w:tc>
        <w:tc>
          <w:tcPr>
            <w:tcW w:type="dxa" w:w="2304"/>
          </w:tcPr>
          <w:p>
            <w:pPr>
              <w:spacing w:before="20" w:after="20"/>
              <w:jc w:val="right"/>
            </w:pPr>
            <w:r/>
            <w:r>
              <w:rPr>
                <w:b w:val="0"/>
                <w:sz w:val="18"/>
              </w:rPr>
              <w:t>4.77%</w:t>
            </w:r>
          </w:p>
        </w:tc>
        <w:tc>
          <w:tcPr>
            <w:tcW w:type="dxa" w:w="2304"/>
          </w:tcPr>
          <w:p>
            <w:pPr>
              <w:spacing w:before="20" w:after="20"/>
              <w:jc w:val="right"/>
            </w:pPr>
            <w:r/>
            <w:r>
              <w:rPr>
                <w:b w:val="0"/>
                <w:sz w:val="18"/>
              </w:rPr>
              <w:t>1.90%</w:t>
            </w:r>
          </w:p>
        </w:tc>
        <w:tc>
          <w:tcPr>
            <w:tcW w:type="dxa" w:w="2016"/>
          </w:tcPr>
          <w:p>
            <w:pPr>
              <w:spacing w:before="20" w:after="20"/>
              <w:jc w:val="right"/>
            </w:pPr>
            <w:r/>
            <w:r>
              <w:rPr>
                <w:b w:val="0"/>
                <w:sz w:val="18"/>
              </w:rPr>
              <w:t>60.2%</w:t>
            </w:r>
          </w:p>
        </w:tc>
      </w:tr>
    </w:tbl>
    <w:p>
      <w:pPr>
        <w:spacing w:after="20"/>
      </w:pPr>
    </w:p>
    <w:p>
      <w:pPr>
        <w:pStyle w:val="Heading1"/>
      </w:pPr>
      <w:r>
        <w:t>3. Training loss</w:t>
      </w:r>
    </w:p>
    <w:p>
      <w:pPr>
        <w:spacing w:after="40"/>
        <w:jc w:val="center"/>
      </w:pPr>
      <w:r>
        <w:drawing>
          <wp:inline xmlns:a="http://schemas.openxmlformats.org/drawingml/2006/main" xmlns:pic="http://schemas.openxmlformats.org/drawingml/2006/picture">
            <wp:extent cx="5120640" cy="2478024"/>
            <wp:docPr id="1" name="Picture 1"/>
            <wp:cNvGraphicFramePr>
              <a:graphicFrameLocks noChangeAspect="1"/>
            </wp:cNvGraphicFramePr>
            <a:graphic>
              <a:graphicData uri="http://schemas.openxmlformats.org/drawingml/2006/picture">
                <pic:pic>
                  <pic:nvPicPr>
                    <pic:cNvPr id="0" name="fig1_loss.png"/>
                    <pic:cNvPicPr/>
                  </pic:nvPicPr>
                  <pic:blipFill>
                    <a:blip r:embed="rId9"/>
                    <a:stretch>
                      <a:fillRect/>
                    </a:stretch>
                  </pic:blipFill>
                  <pic:spPr>
                    <a:xfrm>
                      <a:off x="0" y="0"/>
                      <a:ext cx="5120640" cy="2478024"/>
                    </a:xfrm>
                    <a:prstGeom prst="rect"/>
                  </pic:spPr>
                </pic:pic>
              </a:graphicData>
            </a:graphic>
          </wp:inline>
        </w:drawing>
      </w:r>
    </w:p>
    <w:p>
      <w:pPr>
        <w:spacing w:after="180"/>
        <w:jc w:val="center"/>
      </w:pPr>
      <w:r>
        <w:rPr>
          <w:i/>
          <w:color w:val="595959"/>
          <w:sz w:val="17"/>
        </w:rPr>
        <w:t>Figure 1 — Training and validation loss. Dotted lines mark the epoch boundaries.</w:t>
      </w:r>
    </w:p>
    <w:p>
      <w:r>
        <w:rPr>
          <w:i w:val="0"/>
        </w:rPr>
        <w:t>Training loss fell from 1.1888 at step 10 to 0.0678 at step 6,270, with a minimum of 0.0633. The decline is not smooth, and the shape is more informative than the endpoints.</w:t>
      </w:r>
    </w:p>
    <w:p>
      <w:pPr>
        <w:pStyle w:val="Heading2"/>
      </w:pPr>
      <w:r>
        <w:t>The first thirty steps</w:t>
      </w:r>
    </w:p>
    <w:tbl>
      <w:tblPr>
        <w:tblStyle w:val="TableGrid"/>
        <w:jc w:val="center"/>
        <w:tblLayout w:type="fixed"/>
        <w:tblLook w:firstColumn="1" w:firstRow="1" w:lastColumn="0" w:lastRow="0" w:noHBand="0" w:noVBand="1" w:val="04A0"/>
        <w:tblW w:w="5184" w:type="dxa"/>
      </w:tblPr>
      <w:tblGrid>
        <w:gridCol w:w="3154"/>
        <w:gridCol w:w="3154"/>
        <w:gridCol w:w="3154"/>
      </w:tblGrid>
      <w:tr>
        <w:trPr>
          <w:tblHeader w:val="true"/>
        </w:trPr>
        <w:tc>
          <w:tcPr>
            <w:tcW w:type="dxa" w:w="1296"/>
            <w:shd w:val="clear" w:fill="DCE6F1"/>
          </w:tcPr>
          <w:p>
            <w:pPr>
              <w:spacing w:before="20" w:after="20"/>
            </w:pPr>
            <w:r/>
            <w:r>
              <w:rPr>
                <w:b/>
                <w:sz w:val="18"/>
              </w:rPr>
              <w:t>Step</w:t>
            </w:r>
          </w:p>
        </w:tc>
        <w:tc>
          <w:tcPr>
            <w:tcW w:type="dxa" w:w="1584"/>
            <w:shd w:val="clear" w:fill="DCE6F1"/>
          </w:tcPr>
          <w:p>
            <w:pPr>
              <w:spacing w:before="20" w:after="20"/>
            </w:pPr>
            <w:r/>
            <w:r>
              <w:rPr>
                <w:b/>
                <w:sz w:val="18"/>
              </w:rPr>
              <w:t>Loss</w:t>
            </w:r>
          </w:p>
        </w:tc>
        <w:tc>
          <w:tcPr>
            <w:tcW w:type="dxa" w:w="2304"/>
            <w:shd w:val="clear" w:fill="DCE6F1"/>
          </w:tcPr>
          <w:p>
            <w:pPr>
              <w:spacing w:before="20" w:after="20"/>
            </w:pPr>
            <w:r/>
            <w:r>
              <w:rPr>
                <w:b/>
                <w:sz w:val="18"/>
              </w:rPr>
              <w:t>Learning rate</w:t>
            </w:r>
          </w:p>
        </w:tc>
      </w:tr>
      <w:tr>
        <w:trPr>
          <w:cantSplit/>
        </w:trPr>
        <w:tc>
          <w:tcPr>
            <w:tcW w:type="dxa" w:w="1296"/>
          </w:tcPr>
          <w:p>
            <w:pPr>
              <w:spacing w:before="20" w:after="20"/>
              <w:jc w:val="right"/>
            </w:pPr>
            <w:r/>
            <w:r>
              <w:rPr>
                <w:b w:val="0"/>
                <w:sz w:val="18"/>
              </w:rPr>
              <w:t>10</w:t>
            </w:r>
          </w:p>
        </w:tc>
        <w:tc>
          <w:tcPr>
            <w:tcW w:type="dxa" w:w="1584"/>
          </w:tcPr>
          <w:p>
            <w:pPr>
              <w:spacing w:before="20" w:after="20"/>
              <w:jc w:val="right"/>
            </w:pPr>
            <w:r/>
            <w:r>
              <w:rPr>
                <w:b w:val="0"/>
                <w:sz w:val="18"/>
              </w:rPr>
              <w:t>1.1888</w:t>
            </w:r>
          </w:p>
        </w:tc>
        <w:tc>
          <w:tcPr>
            <w:tcW w:type="dxa" w:w="2304"/>
          </w:tcPr>
          <w:p>
            <w:pPr>
              <w:spacing w:before="20" w:after="20"/>
            </w:pPr>
            <w:r/>
            <w:r>
              <w:rPr>
                <w:b w:val="0"/>
                <w:sz w:val="18"/>
              </w:rPr>
              <w:t>1.8e-04</w:t>
            </w:r>
          </w:p>
        </w:tc>
      </w:tr>
      <w:tr>
        <w:trPr>
          <w:cantSplit/>
        </w:trPr>
        <w:tc>
          <w:tcPr>
            <w:tcW w:type="dxa" w:w="1296"/>
          </w:tcPr>
          <w:p>
            <w:pPr>
              <w:spacing w:before="20" w:after="20"/>
              <w:jc w:val="right"/>
            </w:pPr>
            <w:r/>
            <w:r>
              <w:rPr>
                <w:b w:val="0"/>
                <w:sz w:val="18"/>
              </w:rPr>
              <w:t>20</w:t>
            </w:r>
          </w:p>
        </w:tc>
        <w:tc>
          <w:tcPr>
            <w:tcW w:type="dxa" w:w="1584"/>
          </w:tcPr>
          <w:p>
            <w:pPr>
              <w:spacing w:before="20" w:after="20"/>
              <w:jc w:val="right"/>
            </w:pPr>
            <w:r/>
            <w:r>
              <w:rPr>
                <w:b w:val="0"/>
                <w:sz w:val="18"/>
              </w:rPr>
              <w:t>0.6919</w:t>
            </w:r>
          </w:p>
        </w:tc>
        <w:tc>
          <w:tcPr>
            <w:tcW w:type="dxa" w:w="2304"/>
          </w:tcPr>
          <w:p>
            <w:pPr>
              <w:spacing w:before="20" w:after="20"/>
            </w:pPr>
            <w:r/>
            <w:r>
              <w:rPr>
                <w:b w:val="0"/>
                <w:sz w:val="18"/>
              </w:rPr>
              <w:t>3.8e-04</w:t>
            </w:r>
          </w:p>
        </w:tc>
      </w:tr>
      <w:tr>
        <w:trPr>
          <w:cantSplit/>
        </w:trPr>
        <w:tc>
          <w:tcPr>
            <w:tcW w:type="dxa" w:w="1296"/>
          </w:tcPr>
          <w:p>
            <w:pPr>
              <w:spacing w:before="20" w:after="20"/>
              <w:jc w:val="right"/>
            </w:pPr>
            <w:r/>
            <w:r>
              <w:rPr>
                <w:b w:val="0"/>
                <w:sz w:val="18"/>
              </w:rPr>
              <w:t>30</w:t>
            </w:r>
          </w:p>
        </w:tc>
        <w:tc>
          <w:tcPr>
            <w:tcW w:type="dxa" w:w="1584"/>
          </w:tcPr>
          <w:p>
            <w:pPr>
              <w:spacing w:before="20" w:after="20"/>
              <w:jc w:val="right"/>
            </w:pPr>
            <w:r/>
            <w:r>
              <w:rPr>
                <w:b w:val="0"/>
                <w:sz w:val="18"/>
              </w:rPr>
              <w:t>0.4717</w:t>
            </w:r>
          </w:p>
        </w:tc>
        <w:tc>
          <w:tcPr>
            <w:tcW w:type="dxa" w:w="2304"/>
          </w:tcPr>
          <w:p>
            <w:pPr>
              <w:spacing w:before="20" w:after="20"/>
            </w:pPr>
            <w:r/>
            <w:r>
              <w:rPr>
                <w:b w:val="0"/>
                <w:sz w:val="18"/>
              </w:rPr>
              <w:t>5.8e-04</w:t>
            </w:r>
          </w:p>
        </w:tc>
      </w:tr>
      <w:tr>
        <w:trPr>
          <w:cantSplit/>
        </w:trPr>
        <w:tc>
          <w:tcPr>
            <w:tcW w:type="dxa" w:w="1296"/>
          </w:tcPr>
          <w:p>
            <w:pPr>
              <w:spacing w:before="20" w:after="20"/>
              <w:jc w:val="right"/>
            </w:pPr>
            <w:r/>
            <w:r>
              <w:rPr>
                <w:b w:val="0"/>
                <w:sz w:val="18"/>
              </w:rPr>
              <w:t>60</w:t>
            </w:r>
          </w:p>
        </w:tc>
        <w:tc>
          <w:tcPr>
            <w:tcW w:type="dxa" w:w="1584"/>
          </w:tcPr>
          <w:p>
            <w:pPr>
              <w:spacing w:before="20" w:after="20"/>
              <w:jc w:val="right"/>
            </w:pPr>
            <w:r/>
            <w:r>
              <w:rPr>
                <w:b w:val="0"/>
                <w:sz w:val="18"/>
              </w:rPr>
              <w:t>0.4483</w:t>
            </w:r>
          </w:p>
        </w:tc>
        <w:tc>
          <w:tcPr>
            <w:tcW w:type="dxa" w:w="2304"/>
          </w:tcPr>
          <w:p>
            <w:pPr>
              <w:spacing w:before="20" w:after="20"/>
            </w:pPr>
            <w:r/>
            <w:r>
              <w:rPr>
                <w:b w:val="0"/>
                <w:sz w:val="18"/>
              </w:rPr>
              <w:t>9.99e-04  (peak)</w:t>
            </w:r>
          </w:p>
        </w:tc>
      </w:tr>
      <w:tr>
        <w:trPr>
          <w:cantSplit/>
        </w:trPr>
        <w:tc>
          <w:tcPr>
            <w:tcW w:type="dxa" w:w="1296"/>
          </w:tcPr>
          <w:p>
            <w:pPr>
              <w:spacing w:before="20" w:after="20"/>
              <w:jc w:val="right"/>
            </w:pPr>
            <w:r/>
            <w:r>
              <w:rPr>
                <w:b w:val="0"/>
                <w:sz w:val="18"/>
              </w:rPr>
              <w:t>300</w:t>
            </w:r>
          </w:p>
        </w:tc>
        <w:tc>
          <w:tcPr>
            <w:tcW w:type="dxa" w:w="1584"/>
          </w:tcPr>
          <w:p>
            <w:pPr>
              <w:spacing w:before="20" w:after="20"/>
              <w:jc w:val="right"/>
            </w:pPr>
            <w:r/>
            <w:r>
              <w:rPr>
                <w:b w:val="0"/>
                <w:sz w:val="18"/>
              </w:rPr>
              <w:t>0.4350</w:t>
            </w:r>
          </w:p>
        </w:tc>
        <w:tc>
          <w:tcPr>
            <w:tcW w:type="dxa" w:w="2304"/>
          </w:tcPr>
          <w:p>
            <w:pPr>
              <w:spacing w:before="20" w:after="20"/>
            </w:pPr>
            <w:r/>
            <w:r>
              <w:rPr>
                <w:b w:val="0"/>
                <w:sz w:val="18"/>
              </w:rPr>
              <w:t>9.60e-04</w:t>
            </w:r>
          </w:p>
        </w:tc>
      </w:tr>
    </w:tbl>
    <w:p>
      <w:pPr>
        <w:spacing w:after="20"/>
      </w:pPr>
    </w:p>
    <w:p>
      <w:r>
        <w:rPr>
          <w:i w:val="0"/>
        </w:rPr>
        <w:t>Most of the total drop happens in three logged points, and it is complete before the learning rate finishes warming up — at step 30 the rate was still only 5.8e-04 of an eventual 1e-03. Between steps 30 and 300 the loss then sits between 0.44 and 0.51 with no trend at all.</w:t>
      </w:r>
    </w:p>
    <w:p>
      <w:r>
        <w:rPr>
          <w:i w:val="0"/>
        </w:rPr>
        <w:t>The natural reading is that this first collapse is not the model learning Persian. It already knows Persian. What it is adjusting to is the transcription convention of this particular corpus — the spacing, the colloquial verb endings, the absence of numerals — and that adjustment is largely a change in output formatting, which is cheap. The slow part comes afterwards.</w:t>
      </w:r>
    </w:p>
    <w:p>
      <w:pPr>
        <w:pStyle w:val="Heading2"/>
      </w:pPr>
      <w:r>
        <w:t>What happens at the epoch boundaries</w:t>
      </w:r>
    </w:p>
    <w:p>
      <w:pPr>
        <w:spacing w:after="80"/>
      </w:pPr>
      <w:r>
        <w:rPr>
          <w:i w:val="0"/>
        </w:rPr>
        <w:t>The curve steps down sharply where each epoch ends rather than declining evenly. Measuring the 200 steps either side separates that step from the within-epoch trend:</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2736"/>
            <w:shd w:val="clear" w:fill="DCE6F1"/>
          </w:tcPr>
          <w:p>
            <w:pPr>
              <w:spacing w:before="20" w:after="20"/>
            </w:pPr>
            <w:r/>
            <w:r>
              <w:rPr>
                <w:b/>
                <w:sz w:val="18"/>
              </w:rPr>
            </w:r>
          </w:p>
        </w:tc>
        <w:tc>
          <w:tcPr>
            <w:tcW w:type="dxa" w:w="3312"/>
            <w:shd w:val="clear" w:fill="DCE6F1"/>
          </w:tcPr>
          <w:p>
            <w:pPr>
              <w:spacing w:before="20" w:after="20"/>
            </w:pPr>
            <w:r/>
            <w:r>
              <w:rPr>
                <w:b/>
                <w:sz w:val="18"/>
              </w:rPr>
              <w:t>Decline within the epoch</w:t>
            </w:r>
          </w:p>
        </w:tc>
        <w:tc>
          <w:tcPr>
            <w:tcW w:type="dxa" w:w="3456"/>
            <w:shd w:val="clear" w:fill="DCE6F1"/>
          </w:tcPr>
          <w:p>
            <w:pPr>
              <w:spacing w:before="20" w:after="20"/>
            </w:pPr>
            <w:r/>
            <w:r>
              <w:rPr>
                <w:b/>
                <w:sz w:val="18"/>
              </w:rPr>
              <w:t>Step at the boundary that follows</w:t>
            </w:r>
          </w:p>
        </w:tc>
      </w:tr>
      <w:tr>
        <w:trPr>
          <w:cantSplit/>
        </w:trPr>
        <w:tc>
          <w:tcPr>
            <w:tcW w:type="dxa" w:w="2736"/>
          </w:tcPr>
          <w:p>
            <w:pPr>
              <w:spacing w:before="20" w:after="20"/>
            </w:pPr>
            <w:r/>
            <w:r>
              <w:rPr>
                <w:b w:val="0"/>
                <w:sz w:val="18"/>
              </w:rPr>
              <w:t>Epoch 1  (steps 1–2,090)</w:t>
            </w:r>
          </w:p>
        </w:tc>
        <w:tc>
          <w:tcPr>
            <w:tcW w:type="dxa" w:w="3312"/>
          </w:tcPr>
          <w:p>
            <w:pPr>
              <w:spacing w:before="20" w:after="20"/>
            </w:pPr>
            <w:r/>
            <w:r>
              <w:rPr>
                <w:b w:val="0"/>
                <w:sz w:val="18"/>
              </w:rPr>
              <w:t>0.5294 → 0.3115   (−0.2179)</w:t>
            </w:r>
          </w:p>
        </w:tc>
        <w:tc>
          <w:tcPr>
            <w:tcW w:type="dxa" w:w="3456"/>
          </w:tcPr>
          <w:p>
            <w:pPr>
              <w:spacing w:before="20" w:after="20"/>
            </w:pPr>
            <w:r/>
            <w:r>
              <w:rPr>
                <w:b w:val="0"/>
                <w:sz w:val="18"/>
              </w:rPr>
              <w:t>0.3115 → 0.2384   (−0.0731)</w:t>
            </w:r>
          </w:p>
        </w:tc>
      </w:tr>
      <w:tr>
        <w:trPr>
          <w:cantSplit/>
        </w:trPr>
        <w:tc>
          <w:tcPr>
            <w:tcW w:type="dxa" w:w="2736"/>
          </w:tcPr>
          <w:p>
            <w:pPr>
              <w:spacing w:before="20" w:after="20"/>
            </w:pPr>
            <w:r/>
            <w:r>
              <w:rPr>
                <w:b w:val="0"/>
                <w:sz w:val="18"/>
              </w:rPr>
              <w:t>Epoch 2  (steps 2,091–4,180)</w:t>
            </w:r>
          </w:p>
        </w:tc>
        <w:tc>
          <w:tcPr>
            <w:tcW w:type="dxa" w:w="3312"/>
          </w:tcPr>
          <w:p>
            <w:pPr>
              <w:spacing w:before="20" w:after="20"/>
            </w:pPr>
            <w:r/>
            <w:r>
              <w:rPr>
                <w:b w:val="0"/>
                <w:sz w:val="18"/>
              </w:rPr>
              <w:t>0.2384 → 0.1863   (−0.0521)</w:t>
            </w:r>
          </w:p>
        </w:tc>
        <w:tc>
          <w:tcPr>
            <w:tcW w:type="dxa" w:w="3456"/>
          </w:tcPr>
          <w:p>
            <w:pPr>
              <w:spacing w:before="20" w:after="20"/>
            </w:pPr>
            <w:r/>
            <w:r>
              <w:rPr>
                <w:b w:val="0"/>
                <w:sz w:val="18"/>
              </w:rPr>
              <w:t>0.1863 → 0.1050   (−0.0813)</w:t>
            </w:r>
          </w:p>
        </w:tc>
      </w:tr>
      <w:tr>
        <w:trPr>
          <w:cantSplit/>
        </w:trPr>
        <w:tc>
          <w:tcPr>
            <w:tcW w:type="dxa" w:w="2736"/>
          </w:tcPr>
          <w:p>
            <w:pPr>
              <w:spacing w:before="20" w:after="20"/>
            </w:pPr>
            <w:r/>
            <w:r>
              <w:rPr>
                <w:b w:val="0"/>
                <w:sz w:val="18"/>
              </w:rPr>
              <w:t>Epoch 3  (steps 4,181–6,270)</w:t>
            </w:r>
          </w:p>
        </w:tc>
        <w:tc>
          <w:tcPr>
            <w:tcW w:type="dxa" w:w="3312"/>
          </w:tcPr>
          <w:p>
            <w:pPr>
              <w:spacing w:before="20" w:after="20"/>
            </w:pPr>
            <w:r/>
            <w:r>
              <w:rPr>
                <w:b w:val="0"/>
                <w:sz w:val="18"/>
              </w:rPr>
              <w:t>0.1050 → 0.0748   (−0.0302)</w:t>
            </w:r>
          </w:p>
        </w:tc>
        <w:tc>
          <w:tcPr>
            <w:tcW w:type="dxa" w:w="3456"/>
          </w:tcPr>
          <w:p>
            <w:pPr>
              <w:spacing w:before="20" w:after="20"/>
            </w:pPr>
            <w:r/>
            <w:r>
              <w:rPr>
                <w:b w:val="0"/>
                <w:sz w:val="18"/>
              </w:rPr>
              <w:t>—</w:t>
            </w:r>
          </w:p>
        </w:tc>
      </w:tr>
    </w:tbl>
    <w:p>
      <w:pPr>
        <w:spacing w:after="20"/>
      </w:pPr>
    </w:p>
    <w:p>
      <w:r>
        <w:rPr>
          <w:b/>
        </w:rPr>
        <w:t xml:space="preserve">This is the most telling thing in the run. </w:t>
      </w:r>
      <w:r>
        <w:rPr>
          <w:b w:val="0"/>
        </w:rPr>
        <w:t>From the second epoch onward, the drop at the instant of crossing an epoch boundary is larger than the entire decline across the epoch that follows it: −0.0813 at the boundary against −0.0302 over the whole of epoch 3. Counting the whole run, 34% of the total training-loss reduction happens at two instants, and if the first epoch is excluded as initial adaptation, the boundaries account for 65% of everything that follows.</w:t>
      </w:r>
    </w:p>
    <w:p>
      <w:r>
        <w:rPr>
          <w:i w:val="0"/>
        </w:rPr>
        <w:t>Nothing about the optimizer changes at an epoch boundary — the learning rate decays linearly straight through it. The only thing that changes is that the model starts seeing examples it has already seen. A step down at exactly that point means the improvement is coming from re-exposure to specific training examples rather than from continued generalisation. Validation loss, by contrast, has no steps anywhere: it falls smoothly and decelerates. Those two facts together locate where the remaining training-loss reduction was actually coming from by the third epoch.</w:t>
      </w:r>
    </w:p>
    <w:p>
      <w:r>
        <w:rPr>
          <w:i w:val="0"/>
        </w:rPr>
        <w:t>Mean training loss per epoch was 0.3851, 0.2146 and 0.0897 — each roughly half the last, which reads as steady progress until the decomposition above shows how much of it happened at the joins.</w:t>
      </w:r>
    </w:p>
    <w:p>
      <w:pPr>
        <w:pStyle w:val="Heading1"/>
      </w:pPr>
      <w:r>
        <w:t>4. Validation loss, and where the curves cross</w:t>
      </w:r>
    </w:p>
    <w:p>
      <w:pPr>
        <w:spacing w:after="80"/>
      </w:pPr>
      <w:r>
        <w:rPr>
          <w:i w:val="0"/>
        </w:rPr>
        <w:t>Validation loss fell at every measurement: 0.16152 → 0.12877 → 0.10067 → 0.08704 → 0.08567. It never rose.</w:t>
      </w:r>
    </w:p>
    <w:tbl>
      <w:tblPr>
        <w:tblStyle w:val="TableGrid"/>
        <w:jc w:val="center"/>
        <w:tblLayout w:type="fixed"/>
        <w:tblLook w:firstColumn="1" w:firstRow="1" w:lastColumn="0" w:lastRow="0" w:noHBand="0" w:noVBand="1" w:val="04A0"/>
        <w:tblW w:w="7632" w:type="dxa"/>
      </w:tblPr>
      <w:tblGrid>
        <w:gridCol w:w="2365"/>
        <w:gridCol w:w="2365"/>
        <w:gridCol w:w="2365"/>
        <w:gridCol w:w="2365"/>
      </w:tblGrid>
      <w:tr>
        <w:trPr>
          <w:tblHeader w:val="true"/>
        </w:trPr>
        <w:tc>
          <w:tcPr>
            <w:tcW w:type="dxa" w:w="1296"/>
            <w:shd w:val="clear" w:fill="DCE6F1"/>
          </w:tcPr>
          <w:p>
            <w:pPr>
              <w:spacing w:before="20" w:after="20"/>
            </w:pPr>
            <w:r/>
            <w:r>
              <w:rPr>
                <w:b/>
                <w:sz w:val="18"/>
              </w:rPr>
              <w:t>Step</w:t>
            </w:r>
          </w:p>
        </w:tc>
        <w:tc>
          <w:tcPr>
            <w:tcW w:type="dxa" w:w="1728"/>
            <w:shd w:val="clear" w:fill="DCE6F1"/>
          </w:tcPr>
          <w:p>
            <w:pPr>
              <w:spacing w:before="20" w:after="20"/>
            </w:pPr>
            <w:r/>
            <w:r>
              <w:rPr>
                <w:b/>
                <w:sz w:val="18"/>
              </w:rPr>
              <w:t>Training</w:t>
            </w:r>
          </w:p>
        </w:tc>
        <w:tc>
          <w:tcPr>
            <w:tcW w:type="dxa" w:w="1728"/>
            <w:shd w:val="clear" w:fill="DCE6F1"/>
          </w:tcPr>
          <w:p>
            <w:pPr>
              <w:spacing w:before="20" w:after="20"/>
            </w:pPr>
            <w:r/>
            <w:r>
              <w:rPr>
                <w:b/>
                <w:sz w:val="18"/>
              </w:rPr>
              <w:t>Validation</w:t>
            </w:r>
          </w:p>
        </w:tc>
        <w:tc>
          <w:tcPr>
            <w:tcW w:type="dxa" w:w="2880"/>
            <w:shd w:val="clear" w:fill="DCE6F1"/>
          </w:tcPr>
          <w:p>
            <w:pPr>
              <w:spacing w:before="20" w:after="20"/>
            </w:pPr>
            <w:r/>
            <w:r>
              <w:rPr>
                <w:b/>
                <w:sz w:val="18"/>
              </w:rPr>
              <w:t>Which is lower</w:t>
            </w:r>
          </w:p>
        </w:tc>
      </w:tr>
      <w:tr>
        <w:trPr>
          <w:cantSplit/>
        </w:trPr>
        <w:tc>
          <w:tcPr>
            <w:tcW w:type="dxa" w:w="1296"/>
          </w:tcPr>
          <w:p>
            <w:pPr>
              <w:spacing w:before="20" w:after="20"/>
            </w:pPr>
            <w:r/>
            <w:r>
              <w:rPr>
                <w:b w:val="0"/>
                <w:sz w:val="18"/>
              </w:rPr>
              <w:t>1,500</w:t>
            </w:r>
          </w:p>
        </w:tc>
        <w:tc>
          <w:tcPr>
            <w:tcW w:type="dxa" w:w="1728"/>
          </w:tcPr>
          <w:p>
            <w:pPr>
              <w:spacing w:before="20" w:after="20"/>
              <w:jc w:val="right"/>
            </w:pPr>
            <w:r/>
            <w:r>
              <w:rPr>
                <w:b w:val="0"/>
                <w:sz w:val="18"/>
              </w:rPr>
              <w:t>0.4192</w:t>
            </w:r>
          </w:p>
        </w:tc>
        <w:tc>
          <w:tcPr>
            <w:tcW w:type="dxa" w:w="1728"/>
          </w:tcPr>
          <w:p>
            <w:pPr>
              <w:spacing w:before="20" w:after="20"/>
              <w:jc w:val="right"/>
            </w:pPr>
            <w:r/>
            <w:r>
              <w:rPr>
                <w:b w:val="0"/>
                <w:sz w:val="18"/>
              </w:rPr>
              <w:t>0.16152</w:t>
            </w:r>
          </w:p>
        </w:tc>
        <w:tc>
          <w:tcPr>
            <w:tcW w:type="dxa" w:w="2880"/>
          </w:tcPr>
          <w:p>
            <w:pPr>
              <w:spacing w:before="20" w:after="20"/>
            </w:pPr>
            <w:r/>
            <w:r>
              <w:rPr>
                <w:b w:val="0"/>
                <w:sz w:val="18"/>
              </w:rPr>
              <w:t>validation, by 0.258</w:t>
            </w:r>
          </w:p>
        </w:tc>
      </w:tr>
      <w:tr>
        <w:trPr>
          <w:cantSplit/>
        </w:trPr>
        <w:tc>
          <w:tcPr>
            <w:tcW w:type="dxa" w:w="1296"/>
          </w:tcPr>
          <w:p>
            <w:pPr>
              <w:spacing w:before="20" w:after="20"/>
            </w:pPr>
            <w:r/>
            <w:r>
              <w:rPr>
                <w:b w:val="0"/>
                <w:sz w:val="18"/>
              </w:rPr>
              <w:t>3,000</w:t>
            </w:r>
          </w:p>
        </w:tc>
        <w:tc>
          <w:tcPr>
            <w:tcW w:type="dxa" w:w="1728"/>
          </w:tcPr>
          <w:p>
            <w:pPr>
              <w:spacing w:before="20" w:after="20"/>
              <w:jc w:val="right"/>
            </w:pPr>
            <w:r/>
            <w:r>
              <w:rPr>
                <w:b w:val="0"/>
                <w:sz w:val="18"/>
              </w:rPr>
              <w:t>0.2081</w:t>
            </w:r>
          </w:p>
        </w:tc>
        <w:tc>
          <w:tcPr>
            <w:tcW w:type="dxa" w:w="1728"/>
          </w:tcPr>
          <w:p>
            <w:pPr>
              <w:spacing w:before="20" w:after="20"/>
              <w:jc w:val="right"/>
            </w:pPr>
            <w:r/>
            <w:r>
              <w:rPr>
                <w:b w:val="0"/>
                <w:sz w:val="18"/>
              </w:rPr>
              <w:t>0.12877</w:t>
            </w:r>
          </w:p>
        </w:tc>
        <w:tc>
          <w:tcPr>
            <w:tcW w:type="dxa" w:w="2880"/>
          </w:tcPr>
          <w:p>
            <w:pPr>
              <w:spacing w:before="20" w:after="20"/>
            </w:pPr>
            <w:r/>
            <w:r>
              <w:rPr>
                <w:b w:val="0"/>
                <w:sz w:val="18"/>
              </w:rPr>
              <w:t>validation, by 0.079</w:t>
            </w:r>
          </w:p>
        </w:tc>
      </w:tr>
      <w:tr>
        <w:trPr>
          <w:cantSplit/>
        </w:trPr>
        <w:tc>
          <w:tcPr>
            <w:tcW w:type="dxa" w:w="1296"/>
          </w:tcPr>
          <w:p>
            <w:pPr>
              <w:spacing w:before="20" w:after="20"/>
            </w:pPr>
            <w:r/>
            <w:r>
              <w:rPr>
                <w:b w:val="0"/>
                <w:sz w:val="18"/>
              </w:rPr>
              <w:t>4,500</w:t>
            </w:r>
          </w:p>
        </w:tc>
        <w:tc>
          <w:tcPr>
            <w:tcW w:type="dxa" w:w="1728"/>
          </w:tcPr>
          <w:p>
            <w:pPr>
              <w:spacing w:before="20" w:after="20"/>
              <w:jc w:val="right"/>
            </w:pPr>
            <w:r/>
            <w:r>
              <w:rPr>
                <w:b w:val="0"/>
                <w:sz w:val="18"/>
              </w:rPr>
              <w:t>0.1110</w:t>
            </w:r>
          </w:p>
        </w:tc>
        <w:tc>
          <w:tcPr>
            <w:tcW w:type="dxa" w:w="1728"/>
          </w:tcPr>
          <w:p>
            <w:pPr>
              <w:spacing w:before="20" w:after="20"/>
              <w:jc w:val="right"/>
            </w:pPr>
            <w:r/>
            <w:r>
              <w:rPr>
                <w:b w:val="0"/>
                <w:sz w:val="18"/>
              </w:rPr>
              <w:t>0.10067</w:t>
            </w:r>
          </w:p>
        </w:tc>
        <w:tc>
          <w:tcPr>
            <w:tcW w:type="dxa" w:w="2880"/>
          </w:tcPr>
          <w:p>
            <w:pPr>
              <w:spacing w:before="20" w:after="20"/>
            </w:pPr>
            <w:r/>
            <w:r>
              <w:rPr>
                <w:b w:val="0"/>
                <w:sz w:val="18"/>
              </w:rPr>
              <w:t>validation, by 0.010</w:t>
            </w:r>
          </w:p>
        </w:tc>
      </w:tr>
      <w:tr>
        <w:trPr>
          <w:cantSplit/>
        </w:trPr>
        <w:tc>
          <w:tcPr>
            <w:tcW w:type="dxa" w:w="1296"/>
          </w:tcPr>
          <w:p>
            <w:pPr>
              <w:spacing w:before="20" w:after="20"/>
            </w:pPr>
            <w:r/>
            <w:r>
              <w:rPr>
                <w:b w:val="0"/>
                <w:sz w:val="18"/>
              </w:rPr>
              <w:t>6,000</w:t>
            </w:r>
          </w:p>
        </w:tc>
        <w:tc>
          <w:tcPr>
            <w:tcW w:type="dxa" w:w="1728"/>
          </w:tcPr>
          <w:p>
            <w:pPr>
              <w:spacing w:before="20" w:after="20"/>
              <w:jc w:val="right"/>
            </w:pPr>
            <w:r/>
            <w:r>
              <w:rPr>
                <w:b w:val="0"/>
                <w:sz w:val="18"/>
              </w:rPr>
              <w:t>0.0779</w:t>
            </w:r>
          </w:p>
        </w:tc>
        <w:tc>
          <w:tcPr>
            <w:tcW w:type="dxa" w:w="1728"/>
          </w:tcPr>
          <w:p>
            <w:pPr>
              <w:spacing w:before="20" w:after="20"/>
              <w:jc w:val="right"/>
            </w:pPr>
            <w:r/>
            <w:r>
              <w:rPr>
                <w:b w:val="0"/>
                <w:sz w:val="18"/>
              </w:rPr>
              <w:t>0.08704</w:t>
            </w:r>
          </w:p>
        </w:tc>
        <w:tc>
          <w:tcPr>
            <w:tcW w:type="dxa" w:w="2880"/>
          </w:tcPr>
          <w:p>
            <w:pPr>
              <w:spacing w:before="20" w:after="20"/>
            </w:pPr>
            <w:r/>
            <w:r>
              <w:rPr>
                <w:b w:val="0"/>
                <w:sz w:val="18"/>
              </w:rPr>
              <w:t>training, by 0.009</w:t>
            </w:r>
          </w:p>
        </w:tc>
      </w:tr>
      <w:tr>
        <w:trPr>
          <w:cantSplit/>
        </w:trPr>
        <w:tc>
          <w:tcPr>
            <w:tcW w:type="dxa" w:w="1296"/>
          </w:tcPr>
          <w:p>
            <w:pPr>
              <w:spacing w:before="20" w:after="20"/>
            </w:pPr>
            <w:r/>
            <w:r>
              <w:rPr>
                <w:b w:val="0"/>
                <w:sz w:val="18"/>
              </w:rPr>
              <w:t>6,270</w:t>
            </w:r>
          </w:p>
        </w:tc>
        <w:tc>
          <w:tcPr>
            <w:tcW w:type="dxa" w:w="1728"/>
          </w:tcPr>
          <w:p>
            <w:pPr>
              <w:spacing w:before="20" w:after="20"/>
              <w:jc w:val="right"/>
            </w:pPr>
            <w:r/>
            <w:r>
              <w:rPr>
                <w:b w:val="0"/>
                <w:sz w:val="18"/>
              </w:rPr>
              <w:t>0.0678</w:t>
            </w:r>
          </w:p>
        </w:tc>
        <w:tc>
          <w:tcPr>
            <w:tcW w:type="dxa" w:w="1728"/>
          </w:tcPr>
          <w:p>
            <w:pPr>
              <w:spacing w:before="20" w:after="20"/>
              <w:jc w:val="right"/>
            </w:pPr>
            <w:r/>
            <w:r>
              <w:rPr>
                <w:b w:val="0"/>
                <w:sz w:val="18"/>
              </w:rPr>
              <w:t>0.08567</w:t>
            </w:r>
          </w:p>
        </w:tc>
        <w:tc>
          <w:tcPr>
            <w:tcW w:type="dxa" w:w="2880"/>
          </w:tcPr>
          <w:p>
            <w:pPr>
              <w:spacing w:before="20" w:after="20"/>
            </w:pPr>
            <w:r/>
            <w:r>
              <w:rPr>
                <w:b w:val="0"/>
                <w:sz w:val="18"/>
              </w:rPr>
              <w:t>training, by 0.018</w:t>
            </w:r>
          </w:p>
        </w:tc>
      </w:tr>
    </w:tbl>
    <w:p>
      <w:pPr>
        <w:spacing w:after="20"/>
      </w:pPr>
    </w:p>
    <w:p>
      <w:r>
        <w:rPr>
          <w:i w:val="0"/>
        </w:rPr>
        <w:t>Validation loss starting below training loss looks wrong at first glance and is not. Two mechanical reasons: LoRA dropout of 0.05 is active while training loss is measured and disabled during evaluation, so the model is handicapped in the first measurement and not the second; and training loss is averaged over a window during which the model is still improving, while validation loss is a snapshot taken at the end of it.</w:t>
      </w:r>
    </w:p>
    <w:p>
      <w:r>
        <w:rPr>
          <w:i w:val="0"/>
        </w:rPr>
        <w:t>The lines cross between step 4,500 and step 6,000, and the gap then widens — 0.009, then 0.018. That is the point at which the model begins to fit the training set more closely than the held-out set, and it lines up with the epoch-boundary pattern in section 3. It is the beginning of the process that becomes overfitting if training continues, not overfitting itself: validation loss was still falling when training stopped.</w:t>
      </w:r>
    </w:p>
    <w:p>
      <w:pPr>
        <w:pStyle w:val="Heading1"/>
      </w:pPr>
      <w:r>
        <w:t>5. Word and character error rate</w:t>
      </w:r>
    </w:p>
    <w:p>
      <w:pPr>
        <w:spacing w:after="40"/>
        <w:jc w:val="center"/>
      </w:pPr>
      <w:r>
        <w:drawing>
          <wp:inline xmlns:a="http://schemas.openxmlformats.org/drawingml/2006/main" xmlns:pic="http://schemas.openxmlformats.org/drawingml/2006/picture">
            <wp:extent cx="5120640" cy="2478024"/>
            <wp:docPr id="2" name="Picture 2"/>
            <wp:cNvGraphicFramePr>
              <a:graphicFrameLocks noChangeAspect="1"/>
            </wp:cNvGraphicFramePr>
            <a:graphic>
              <a:graphicData uri="http://schemas.openxmlformats.org/drawingml/2006/picture">
                <pic:pic>
                  <pic:nvPicPr>
                    <pic:cNvPr id="0" name="fig2_wer_cer.png"/>
                    <pic:cNvPicPr/>
                  </pic:nvPicPr>
                  <pic:blipFill>
                    <a:blip r:embed="rId10"/>
                    <a:stretch>
                      <a:fillRect/>
                    </a:stretch>
                  </pic:blipFill>
                  <pic:spPr>
                    <a:xfrm>
                      <a:off x="0" y="0"/>
                      <a:ext cx="5120640" cy="2478024"/>
                    </a:xfrm>
                    <a:prstGeom prst="rect"/>
                  </pic:spPr>
                </pic:pic>
              </a:graphicData>
            </a:graphic>
          </wp:inline>
        </w:drawing>
      </w:r>
    </w:p>
    <w:p>
      <w:pPr>
        <w:spacing w:after="180"/>
        <w:jc w:val="center"/>
      </w:pPr>
      <w:r>
        <w:rPr>
          <w:i/>
          <w:color w:val="595959"/>
          <w:sz w:val="17"/>
        </w:rPr>
        <w:t>Figure 2 — WER and CER at each evaluation. The dashed line is the final full-split WER.</w:t>
      </w:r>
    </w:p>
    <w:p>
      <w:pPr>
        <w:spacing w:after="80"/>
      </w:pPr>
      <w:r>
        <w:rPr>
          <w:i w:val="0"/>
        </w:rPr>
        <w:t>WER improved from 16.30% to 8.17%, CER from 4.77% to 1.90%. The returns diminish sharply:</w:t>
      </w:r>
    </w:p>
    <w:tbl>
      <w:tblPr>
        <w:tblStyle w:val="TableGrid"/>
        <w:jc w:val="center"/>
        <w:tblLayout w:type="fixed"/>
        <w:tblLook w:firstColumn="1" w:firstRow="1" w:lastColumn="0" w:lastRow="0" w:noHBand="0" w:noVBand="1" w:val="04A0"/>
        <w:tblW w:w="6048" w:type="dxa"/>
      </w:tblPr>
      <w:tblGrid>
        <w:gridCol w:w="3154"/>
        <w:gridCol w:w="3154"/>
        <w:gridCol w:w="3154"/>
      </w:tblGrid>
      <w:tr>
        <w:trPr>
          <w:tblHeader w:val="true"/>
        </w:trPr>
        <w:tc>
          <w:tcPr>
            <w:tcW w:type="dxa" w:w="2304"/>
            <w:shd w:val="clear" w:fill="DCE6F1"/>
          </w:tcPr>
          <w:p>
            <w:pPr>
              <w:spacing w:before="20" w:after="20"/>
            </w:pPr>
            <w:r/>
            <w:r>
              <w:rPr>
                <w:b/>
                <w:sz w:val="18"/>
              </w:rPr>
              <w:t>Interval</w:t>
            </w:r>
          </w:p>
        </w:tc>
        <w:tc>
          <w:tcPr>
            <w:tcW w:type="dxa" w:w="2304"/>
            <w:shd w:val="clear" w:fill="DCE6F1"/>
          </w:tcPr>
          <w:p>
            <w:pPr>
              <w:spacing w:before="20" w:after="20"/>
            </w:pPr>
            <w:r/>
            <w:r>
              <w:rPr>
                <w:b/>
                <w:sz w:val="18"/>
              </w:rPr>
              <w:t>WER change</w:t>
            </w:r>
          </w:p>
        </w:tc>
        <w:tc>
          <w:tcPr>
            <w:tcW w:type="dxa" w:w="1440"/>
            <w:shd w:val="clear" w:fill="DCE6F1"/>
          </w:tcPr>
          <w:p>
            <w:pPr>
              <w:spacing w:before="20" w:after="20"/>
            </w:pPr>
            <w:r/>
            <w:r>
              <w:rPr>
                <w:b/>
                <w:sz w:val="18"/>
              </w:rPr>
              <w:t>Steps</w:t>
            </w:r>
          </w:p>
        </w:tc>
      </w:tr>
      <w:tr>
        <w:trPr>
          <w:cantSplit/>
        </w:trPr>
        <w:tc>
          <w:tcPr>
            <w:tcW w:type="dxa" w:w="2304"/>
          </w:tcPr>
          <w:p>
            <w:pPr>
              <w:spacing w:before="20" w:after="20"/>
            </w:pPr>
            <w:r/>
            <w:r>
              <w:rPr>
                <w:b w:val="0"/>
                <w:sz w:val="18"/>
              </w:rPr>
              <w:t>1,500 → 3,000</w:t>
            </w:r>
          </w:p>
        </w:tc>
        <w:tc>
          <w:tcPr>
            <w:tcW w:type="dxa" w:w="2304"/>
          </w:tcPr>
          <w:p>
            <w:pPr>
              <w:spacing w:before="20" w:after="20"/>
              <w:jc w:val="right"/>
            </w:pPr>
            <w:r/>
            <w:r>
              <w:rPr>
                <w:b w:val="0"/>
                <w:sz w:val="18"/>
              </w:rPr>
              <w:t>−3.80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3,000 → 4,500</w:t>
            </w:r>
          </w:p>
        </w:tc>
        <w:tc>
          <w:tcPr>
            <w:tcW w:type="dxa" w:w="2304"/>
          </w:tcPr>
          <w:p>
            <w:pPr>
              <w:spacing w:before="20" w:after="20"/>
              <w:jc w:val="right"/>
            </w:pPr>
            <w:r/>
            <w:r>
              <w:rPr>
                <w:b w:val="0"/>
                <w:sz w:val="18"/>
              </w:rPr>
              <w:t>−2.93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4,500 → 6,000</w:t>
            </w:r>
          </w:p>
        </w:tc>
        <w:tc>
          <w:tcPr>
            <w:tcW w:type="dxa" w:w="2304"/>
          </w:tcPr>
          <w:p>
            <w:pPr>
              <w:spacing w:before="20" w:after="20"/>
              <w:jc w:val="right"/>
            </w:pPr>
            <w:r/>
            <w:r>
              <w:rPr>
                <w:b w:val="0"/>
                <w:sz w:val="18"/>
              </w:rPr>
              <w:t>−1.38 points</w:t>
            </w:r>
          </w:p>
        </w:tc>
        <w:tc>
          <w:tcPr>
            <w:tcW w:type="dxa" w:w="1440"/>
          </w:tcPr>
          <w:p>
            <w:pPr>
              <w:spacing w:before="20" w:after="20"/>
              <w:jc w:val="right"/>
            </w:pPr>
            <w:r/>
            <w:r>
              <w:rPr>
                <w:b w:val="0"/>
                <w:sz w:val="18"/>
              </w:rPr>
              <w:t>1,500</w:t>
            </w:r>
          </w:p>
        </w:tc>
      </w:tr>
      <w:tr>
        <w:trPr>
          <w:cantSplit/>
        </w:trPr>
        <w:tc>
          <w:tcPr>
            <w:tcW w:type="dxa" w:w="2304"/>
          </w:tcPr>
          <w:p>
            <w:pPr>
              <w:spacing w:before="20" w:after="20"/>
            </w:pPr>
            <w:r/>
            <w:r>
              <w:rPr>
                <w:b w:val="0"/>
                <w:sz w:val="18"/>
              </w:rPr>
              <w:t>6,000 → 6,270</w:t>
            </w:r>
          </w:p>
        </w:tc>
        <w:tc>
          <w:tcPr>
            <w:tcW w:type="dxa" w:w="2304"/>
          </w:tcPr>
          <w:p>
            <w:pPr>
              <w:spacing w:before="20" w:after="20"/>
              <w:jc w:val="right"/>
            </w:pPr>
            <w:r/>
            <w:r>
              <w:rPr>
                <w:b w:val="0"/>
                <w:sz w:val="18"/>
              </w:rPr>
              <w:t>−0.02 points</w:t>
            </w:r>
          </w:p>
        </w:tc>
        <w:tc>
          <w:tcPr>
            <w:tcW w:type="dxa" w:w="1440"/>
          </w:tcPr>
          <w:p>
            <w:pPr>
              <w:spacing w:before="20" w:after="20"/>
              <w:jc w:val="right"/>
            </w:pPr>
            <w:r/>
            <w:r>
              <w:rPr>
                <w:b w:val="0"/>
                <w:sz w:val="18"/>
              </w:rPr>
              <w:t>270</w:t>
            </w:r>
          </w:p>
        </w:tc>
      </w:tr>
    </w:tbl>
    <w:p>
      <w:pPr>
        <w:spacing w:after="20"/>
      </w:pPr>
    </w:p>
    <w:p>
      <w:r>
        <w:rPr>
          <w:b/>
        </w:rPr>
        <w:t xml:space="preserve">How much of that last figure is real. </w:t>
      </w:r>
      <w:r>
        <w:rPr>
          <w:b w:val="0"/>
        </w:rPr>
        <w:t>The final 270 steps moved WER by 0.02 points while training loss fell from 0.0779 to 0.0678 over the same interval. It is tempting to read the 0.02 as a small real improvement, but the measurement is not precise enough to support that. The same checkpoint scored 8.17% on the 500-row subset and 8.05% on the full 5,900 rows — a 0.12-point disagreement between two measurements of one identical model. The last observed change is six times smaller than that, so it sits well inside the sampling noise of a 500-row estimate. The honest statement is that WER stopped moving measurably after step 6,000, not that it improved slightly.</w:t>
      </w:r>
    </w:p>
    <w:p>
      <w:r>
        <w:rPr>
          <w:i w:val="0"/>
        </w:rPr>
        <w:t>The subset also disagreed with the full split in different directions for the two metrics — WER higher on the subset, CER lower — which is what sampling noise looks like rather than a systematic bias in either.</w:t>
      </w:r>
    </w:p>
    <w:p>
      <w:r>
        <w:rPr>
          <w:b/>
        </w:rPr>
        <w:t xml:space="preserve">Why CER is so much lower than WER. </w:t>
      </w:r>
      <w:r>
        <w:rPr>
          <w:b w:val="0"/>
        </w:rPr>
        <w:t>The final ratio is 8.17 to 1.90, better than four to one. WER marks a whole word wrong if one character differs; CER counts only the characters that differ. A ratio this wide means most of what remains is small differences inside otherwise-correct words rather than whole words misrecognised. Task 4 takes those errors apart and finds that a quarter of them are Persian spacing and homophone-letter conventions, which is exactly the kind of error that inflates WER while barely touching CER.</w:t>
      </w:r>
    </w:p>
    <w:p>
      <w:pPr>
        <w:pStyle w:val="Heading1"/>
      </w:pPr>
      <w:r>
        <w:t>6. Did it overfit, and had it converged?</w:t>
      </w:r>
    </w:p>
    <w:p>
      <w:r>
        <w:rPr>
          <w:b/>
        </w:rPr>
        <w:t xml:space="preserve">Overfitting: no. </w:t>
      </w:r>
      <w:r>
        <w:rPr>
          <w:b w:val="0"/>
        </w:rPr>
        <w:t>Validation loss decreased at all five measurements and was still decreasing at the end. WER and CER decreased monotonically. The training/validation gap at the end was 0.018. Overfitting is the opposite pattern — training loss falling while validation loss and error rates rise — and it does not appear anywhere in this run.</w:t>
      </w:r>
    </w:p>
    <w:p>
      <w:r>
        <w:rPr>
          <w:i w:val="0"/>
        </w:rPr>
        <w:t>Two structural reasons make it unlikely at this scale. LoRA trains 15.7 M of 1.56 B parameters, 1.01%, which is very little capacity in which to memorise 33,432 samples. And the linear schedule had decayed the learning rate to 1.6e-07 by the end, so the last updates were negligible in size.</w:t>
      </w:r>
    </w:p>
    <w:p>
      <w:r>
        <w:rPr>
          <w:b/>
        </w:rPr>
        <w:t xml:space="preserve">Convergence: effectively yes, by step 6,000. </w:t>
      </w:r>
      <w:r>
        <w:rPr>
          <w:b w:val="0"/>
        </w:rPr>
        <w:t>WER did not move measurably over the final 270 steps, and the training-loss decomposition in section 3 shows where the remaining improvement was going. A fourth epoch would very likely have continued that trade — better training loss, another step down at the boundary, and little or nothing on the held-out set. The run stopped at a reasonable place, though it stopped there because the brief specified three epochs rather than because a stopping criterion fired.</w:t>
      </w:r>
    </w:p>
    <w:p>
      <w:r>
        <w:rPr>
          <w:i w:val="0"/>
        </w:rPr>
        <w:t>One caveat belongs here rather than being left to the reader. Task 1 established that 51.9% of validation transcripts also occur in the training split, with different audio. The decoder has therefore already been trained to produce half of these sentences, which makes validation loss and WER more forgiving than they would be on unseen text. That affects the level of every number in this section. It does not affect the shapes — the epoch steps, the crossover, the flattening — which are what the analysis rests on.</w:t>
      </w:r>
    </w:p>
    <w:p>
      <w:pPr>
        <w:pStyle w:val="Heading1"/>
      </w:pPr>
      <w:r>
        <w:t>7. Stability</w:t>
      </w:r>
    </w:p>
    <w:p>
      <w:pPr>
        <w:spacing w:after="40"/>
        <w:jc w:val="center"/>
      </w:pPr>
      <w:r>
        <w:drawing>
          <wp:inline xmlns:a="http://schemas.openxmlformats.org/drawingml/2006/main" xmlns:pic="http://schemas.openxmlformats.org/drawingml/2006/picture">
            <wp:extent cx="5120640" cy="1965960"/>
            <wp:docPr id="3" name="Picture 3"/>
            <wp:cNvGraphicFramePr>
              <a:graphicFrameLocks noChangeAspect="1"/>
            </wp:cNvGraphicFramePr>
            <a:graphic>
              <a:graphicData uri="http://schemas.openxmlformats.org/drawingml/2006/picture">
                <pic:pic>
                  <pic:nvPicPr>
                    <pic:cNvPr id="0" name="fig4_grad_norm.png"/>
                    <pic:cNvPicPr/>
                  </pic:nvPicPr>
                  <pic:blipFill>
                    <a:blip r:embed="rId11"/>
                    <a:stretch>
                      <a:fillRect/>
                    </a:stretch>
                  </pic:blipFill>
                  <pic:spPr>
                    <a:xfrm>
                      <a:off x="0" y="0"/>
                      <a:ext cx="5120640" cy="1965960"/>
                    </a:xfrm>
                    <a:prstGeom prst="rect"/>
                  </pic:spPr>
                </pic:pic>
              </a:graphicData>
            </a:graphic>
          </wp:inline>
        </w:drawing>
      </w:r>
    </w:p>
    <w:p>
      <w:pPr>
        <w:spacing w:after="180"/>
        <w:jc w:val="center"/>
      </w:pPr>
      <w:r>
        <w:rPr>
          <w:i/>
          <w:color w:val="595959"/>
          <w:sz w:val="17"/>
        </w:rPr>
        <w:t>Figure 3 — Gradient norm across the run.</w:t>
      </w:r>
    </w:p>
    <w:tbl>
      <w:tblPr>
        <w:tblStyle w:val="TableGrid"/>
        <w:jc w:val="center"/>
        <w:tblLayout w:type="fixed"/>
        <w:tblLook w:firstColumn="1" w:firstRow="1" w:lastColumn="0" w:lastRow="0" w:noHBand="0" w:noVBand="1" w:val="04A0"/>
        <w:tblW w:w="9360" w:type="dxa"/>
      </w:tblPr>
      <w:tblGrid>
        <w:gridCol w:w="2365"/>
        <w:gridCol w:w="2365"/>
        <w:gridCol w:w="2365"/>
        <w:gridCol w:w="2365"/>
      </w:tblGrid>
      <w:tr>
        <w:trPr>
          <w:tblHeader w:val="true"/>
        </w:trPr>
        <w:tc>
          <w:tcPr>
            <w:tcW w:type="dxa" w:w="1872"/>
            <w:shd w:val="clear" w:fill="DCE6F1"/>
          </w:tcPr>
          <w:p>
            <w:pPr>
              <w:spacing w:before="20" w:after="20"/>
            </w:pPr>
            <w:r/>
            <w:r>
              <w:rPr>
                <w:b/>
                <w:sz w:val="18"/>
              </w:rPr>
              <w:t>Gradient norm</w:t>
            </w:r>
          </w:p>
        </w:tc>
        <w:tc>
          <w:tcPr>
            <w:tcW w:type="dxa" w:w="1296"/>
            <w:shd w:val="clear" w:fill="DCE6F1"/>
          </w:tcPr>
          <w:p>
            <w:pPr>
              <w:spacing w:before="20" w:after="20"/>
            </w:pPr>
            <w:r/>
            <w:r>
              <w:rPr>
                <w:b/>
                <w:sz w:val="18"/>
              </w:rPr>
              <w:t>Value</w:t>
            </w:r>
          </w:p>
        </w:tc>
        <w:tc>
          <w:tcPr>
            <w:tcW w:type="dxa" w:w="3456"/>
            <w:shd w:val="clear" w:fill="DCE6F1"/>
          </w:tcPr>
          <w:p>
            <w:pPr>
              <w:spacing w:before="20" w:after="20"/>
            </w:pPr>
            <w:r/>
            <w:r>
              <w:rPr>
                <w:b/>
                <w:sz w:val="18"/>
              </w:rPr>
            </w:r>
          </w:p>
        </w:tc>
        <w:tc>
          <w:tcPr>
            <w:tcW w:type="dxa" w:w="2736"/>
            <w:shd w:val="clear" w:fill="DCE6F1"/>
          </w:tcPr>
          <w:p>
            <w:pPr>
              <w:spacing w:before="20" w:after="20"/>
            </w:pPr>
            <w:r/>
            <w:r>
              <w:rPr>
                <w:b/>
                <w:sz w:val="18"/>
              </w:rPr>
              <w:t>Count</w:t>
            </w:r>
          </w:p>
        </w:tc>
      </w:tr>
      <w:tr>
        <w:trPr>
          <w:cantSplit/>
        </w:trPr>
        <w:tc>
          <w:tcPr>
            <w:tcW w:type="dxa" w:w="1872"/>
          </w:tcPr>
          <w:p>
            <w:pPr>
              <w:spacing w:before="20" w:after="20"/>
            </w:pPr>
            <w:r/>
            <w:r>
              <w:rPr>
                <w:b w:val="0"/>
                <w:sz w:val="18"/>
              </w:rPr>
              <w:t>Minimum</w:t>
            </w:r>
          </w:p>
        </w:tc>
        <w:tc>
          <w:tcPr>
            <w:tcW w:type="dxa" w:w="1296"/>
          </w:tcPr>
          <w:p>
            <w:pPr>
              <w:spacing w:before="20" w:after="20"/>
              <w:jc w:val="right"/>
            </w:pPr>
            <w:r/>
            <w:r>
              <w:rPr>
                <w:b w:val="0"/>
                <w:sz w:val="18"/>
              </w:rPr>
              <w:t>0.205</w:t>
            </w:r>
          </w:p>
        </w:tc>
        <w:tc>
          <w:tcPr>
            <w:tcW w:type="dxa" w:w="3456"/>
          </w:tcPr>
          <w:p>
            <w:pPr>
              <w:spacing w:before="20" w:after="20"/>
            </w:pPr>
            <w:r/>
            <w:r>
              <w:rPr>
                <w:b w:val="0"/>
                <w:sz w:val="18"/>
              </w:rPr>
              <w:t>Above 1.0 (the clipping threshold)</w:t>
            </w:r>
          </w:p>
        </w:tc>
        <w:tc>
          <w:tcPr>
            <w:tcW w:type="dxa" w:w="2736"/>
          </w:tcPr>
          <w:p>
            <w:pPr>
              <w:spacing w:before="20" w:after="20"/>
              <w:jc w:val="right"/>
            </w:pPr>
            <w:r/>
            <w:r>
              <w:rPr>
                <w:b w:val="0"/>
                <w:sz w:val="18"/>
              </w:rPr>
              <w:t>279 of 626  (44.6%)</w:t>
            </w:r>
          </w:p>
        </w:tc>
      </w:tr>
      <w:tr>
        <w:trPr>
          <w:cantSplit/>
        </w:trPr>
        <w:tc>
          <w:tcPr>
            <w:tcW w:type="dxa" w:w="1872"/>
          </w:tcPr>
          <w:p>
            <w:pPr>
              <w:spacing w:before="20" w:after="20"/>
            </w:pPr>
            <w:r/>
            <w:r>
              <w:rPr>
                <w:b w:val="0"/>
                <w:sz w:val="18"/>
              </w:rPr>
              <w:t>Maximum</w:t>
            </w:r>
          </w:p>
        </w:tc>
        <w:tc>
          <w:tcPr>
            <w:tcW w:type="dxa" w:w="1296"/>
          </w:tcPr>
          <w:p>
            <w:pPr>
              <w:spacing w:before="20" w:after="20"/>
              <w:jc w:val="right"/>
            </w:pPr>
            <w:r/>
            <w:r>
              <w:rPr>
                <w:b w:val="0"/>
                <w:sz w:val="18"/>
              </w:rPr>
              <w:t>2.759</w:t>
            </w:r>
          </w:p>
        </w:tc>
        <w:tc>
          <w:tcPr>
            <w:tcW w:type="dxa" w:w="3456"/>
          </w:tcPr>
          <w:p>
            <w:pPr>
              <w:spacing w:before="20" w:after="20"/>
            </w:pPr>
            <w:r/>
            <w:r>
              <w:rPr>
                <w:b w:val="0"/>
                <w:sz w:val="18"/>
              </w:rPr>
              <w:t>Above 1.5</w:t>
            </w:r>
          </w:p>
        </w:tc>
        <w:tc>
          <w:tcPr>
            <w:tcW w:type="dxa" w:w="2736"/>
          </w:tcPr>
          <w:p>
            <w:pPr>
              <w:spacing w:before="20" w:after="20"/>
              <w:jc w:val="right"/>
            </w:pPr>
            <w:r/>
            <w:r>
              <w:rPr>
                <w:b w:val="0"/>
                <w:sz w:val="18"/>
              </w:rPr>
              <w:t>36</w:t>
            </w:r>
          </w:p>
        </w:tc>
      </w:tr>
      <w:tr>
        <w:trPr>
          <w:cantSplit/>
        </w:trPr>
        <w:tc>
          <w:tcPr>
            <w:tcW w:type="dxa" w:w="1872"/>
          </w:tcPr>
          <w:p>
            <w:pPr>
              <w:spacing w:before="20" w:after="20"/>
            </w:pPr>
            <w:r/>
            <w:r>
              <w:rPr>
                <w:b w:val="0"/>
                <w:sz w:val="18"/>
              </w:rPr>
              <w:t>Mean</w:t>
            </w:r>
          </w:p>
        </w:tc>
        <w:tc>
          <w:tcPr>
            <w:tcW w:type="dxa" w:w="1296"/>
          </w:tcPr>
          <w:p>
            <w:pPr>
              <w:spacing w:before="20" w:after="20"/>
              <w:jc w:val="right"/>
            </w:pPr>
            <w:r/>
            <w:r>
              <w:rPr>
                <w:b w:val="0"/>
                <w:sz w:val="18"/>
              </w:rPr>
              <w:t>0.950</w:t>
            </w:r>
          </w:p>
        </w:tc>
        <w:tc>
          <w:tcPr>
            <w:tcW w:type="dxa" w:w="3456"/>
          </w:tcPr>
          <w:p>
            <w:pPr>
              <w:spacing w:before="20" w:after="20"/>
            </w:pPr>
            <w:r/>
            <w:r>
              <w:rPr>
                <w:b w:val="0"/>
                <w:sz w:val="18"/>
              </w:rPr>
              <w:t>Above 2.0</w:t>
            </w:r>
          </w:p>
        </w:tc>
        <w:tc>
          <w:tcPr>
            <w:tcW w:type="dxa" w:w="2736"/>
          </w:tcPr>
          <w:p>
            <w:pPr>
              <w:spacing w:before="20" w:after="20"/>
              <w:jc w:val="right"/>
            </w:pPr>
            <w:r/>
            <w:r>
              <w:rPr>
                <w:b w:val="0"/>
                <w:sz w:val="18"/>
              </w:rPr>
              <w:t>4</w:t>
            </w:r>
          </w:p>
        </w:tc>
      </w:tr>
      <w:tr>
        <w:trPr>
          <w:cantSplit/>
        </w:trPr>
        <w:tc>
          <w:tcPr>
            <w:tcW w:type="dxa" w:w="1872"/>
          </w:tcPr>
          <w:p>
            <w:pPr>
              <w:spacing w:before="20" w:after="20"/>
            </w:pPr>
            <w:r/>
            <w:r>
              <w:rPr>
                <w:b w:val="0"/>
                <w:sz w:val="18"/>
              </w:rPr>
              <w:t>Median</w:t>
            </w:r>
          </w:p>
        </w:tc>
        <w:tc>
          <w:tcPr>
            <w:tcW w:type="dxa" w:w="1296"/>
          </w:tcPr>
          <w:p>
            <w:pPr>
              <w:spacing w:before="20" w:after="20"/>
              <w:jc w:val="right"/>
            </w:pPr>
            <w:r/>
            <w:r>
              <w:rPr>
                <w:b w:val="0"/>
                <w:sz w:val="18"/>
              </w:rPr>
              <w:t>0.948</w:t>
            </w:r>
          </w:p>
        </w:tc>
        <w:tc>
          <w:tcPr>
            <w:tcW w:type="dxa" w:w="3456"/>
          </w:tcPr>
          <w:p>
            <w:pPr>
              <w:spacing w:before="20" w:after="20"/>
            </w:pPr>
            <w:r/>
            <w:r>
              <w:rPr>
                <w:b w:val="0"/>
                <w:sz w:val="18"/>
              </w:rPr>
              <w:t>NaN</w:t>
            </w:r>
          </w:p>
        </w:tc>
        <w:tc>
          <w:tcPr>
            <w:tcW w:type="dxa" w:w="2736"/>
          </w:tcPr>
          <w:p>
            <w:pPr>
              <w:spacing w:before="20" w:after="20"/>
              <w:jc w:val="right"/>
            </w:pPr>
            <w:r/>
            <w:r>
              <w:rPr>
                <w:b w:val="0"/>
                <w:sz w:val="18"/>
              </w:rPr>
              <w:t>1</w:t>
            </w:r>
          </w:p>
        </w:tc>
      </w:tr>
    </w:tbl>
    <w:p>
      <w:pPr>
        <w:spacing w:after="20"/>
      </w:pPr>
    </w:p>
    <w:p>
      <w:r>
        <w:rPr>
          <w:b/>
        </w:rPr>
        <w:t xml:space="preserve">Clipping was active, and this matters for how the table is read. </w:t>
      </w:r>
      <w:r>
        <w:rPr>
          <w:b w:val="0"/>
        </w:rPr>
        <w:t>train.py does not set max_grad_norm, so the Trainer's default of 1.0 applied throughout. The logged norm is the value before clipping, and 44.6% of updates exceeded the threshold and were rescaled. It would be wrong to describe this run as one where clipping was never needed. The evidence for stability is different and more specific: the norm stayed bounded, only four points in 626 went above 2.0, the maximum was 2.759, and there is no drift or growth over the run. Clipping was doing routine work, not rescuing a diverging optimisation.</w:t>
      </w:r>
    </w:p>
    <w:p>
      <w:pPr>
        <w:pStyle w:val="Heading2"/>
      </w:pPr>
      <w:r>
        <w:t>The single NaN</w:t>
      </w:r>
    </w:p>
    <w:p>
      <w:pPr>
        <w:spacing w:after="140" w:before="40"/>
        <w:ind w:left="216"/>
      </w:pPr>
      <w:r>
        <w:rPr>
          <w:rFonts w:ascii="Consolas" w:hAnsi="Consolas"/>
          <w:sz w:val="17"/>
        </w:rPr>
        <w:t>step 1050   loss 0.3622   grad norm 0.946</w:t>
        <w:br/>
        <w:t>step 1060   loss 0.3691   grad norm 1.178</w:t>
        <w:br/>
        <w:t>step 1070   loss 0.4082   grad norm 1.158</w:t>
        <w:br/>
        <w:t>step 1080   loss 0.3433   grad norm NaN     &lt;- scaler overflow, update skipped</w:t>
        <w:br/>
        <w:t>step 1090   loss 0.3335   grad norm 1.023</w:t>
        <w:br/>
        <w:t>step 1100   loss 0.3319   grad norm 1.460</w:t>
      </w:r>
    </w:p>
    <w:p>
      <w:r>
        <w:rPr>
          <w:i w:val="0"/>
        </w:rPr>
        <w:t>One NaN gradient norm was logged, at step 1,080. This is the documented behaviour of fp16 mixed precision: the gradient scaler detected an overflow, skipped that optimizer update and halved the loss scale. The neighbouring norms are ordinary and the loss continues falling straight through the event without a spike. One occurrence in 627 logged points is the scaler working, not training becoming unstable.</w:t>
      </w:r>
    </w:p>
    <w:p>
      <w:pPr>
        <w:pStyle w:val="Heading2"/>
      </w:pPr>
      <w:r>
        <w:t>Learning rate schedule</w:t>
      </w:r>
    </w:p>
    <w:p>
      <w:r>
        <w:rPr>
          <w:i w:val="0"/>
        </w:rPr>
        <w:t>50 warmup steps, then linear decay to zero over the remaining 6,220. The logged values confirm the schedule ran exactly as configured: 1.8e-04 at step 10, which is 1e-03 × 9/50; a peak of 9.986e-04 just after warmup ends; and 1.608e-07 at step 6,270, which is 1e-03 × 1/6,220. The warmup is visible in the loss curve as the initial collapse described in section 3, and the decay is why the final steps could not have moved the model far even if there had been more of them.</w:t>
      </w:r>
    </w:p>
    <w:p>
      <w:pPr>
        <w:pStyle w:val="Heading1"/>
      </w:pPr>
      <w:r>
        <w:t>8. Summary</w:t>
      </w:r>
    </w:p>
    <w:tbl>
      <w:tblPr>
        <w:tblStyle w:val="TableGrid"/>
        <w:jc w:val="center"/>
        <w:tblLayout w:type="fixed"/>
        <w:tblLook w:firstColumn="1" w:firstRow="1" w:lastColumn="0" w:lastRow="0" w:noHBand="0" w:noVBand="1" w:val="04A0"/>
        <w:tblW w:w="9504" w:type="dxa"/>
      </w:tblPr>
      <w:tblGrid>
        <w:gridCol w:w="4730"/>
        <w:gridCol w:w="4730"/>
      </w:tblGrid>
      <w:tr>
        <w:trPr>
          <w:tblHeader w:val="true"/>
        </w:trPr>
        <w:tc>
          <w:tcPr>
            <w:tcW w:type="dxa" w:w="2736"/>
            <w:shd w:val="clear" w:fill="DCE6F1"/>
          </w:tcPr>
          <w:p>
            <w:pPr>
              <w:spacing w:before="20" w:after="20"/>
            </w:pPr>
            <w:r/>
            <w:r>
              <w:rPr>
                <w:b/>
                <w:sz w:val="18"/>
              </w:rPr>
              <w:t>Question</w:t>
            </w:r>
          </w:p>
        </w:tc>
        <w:tc>
          <w:tcPr>
            <w:tcW w:type="dxa" w:w="6768"/>
            <w:shd w:val="clear" w:fill="DCE6F1"/>
          </w:tcPr>
          <w:p>
            <w:pPr>
              <w:spacing w:before="20" w:after="20"/>
            </w:pPr>
            <w:r/>
            <w:r>
              <w:rPr>
                <w:b/>
                <w:sz w:val="18"/>
              </w:rPr>
              <w:t>Answer</w:t>
            </w:r>
          </w:p>
        </w:tc>
      </w:tr>
      <w:tr>
        <w:trPr>
          <w:cantSplit/>
        </w:trPr>
        <w:tc>
          <w:tcPr>
            <w:tcW w:type="dxa" w:w="2736"/>
          </w:tcPr>
          <w:p>
            <w:pPr>
              <w:spacing w:before="20" w:after="20"/>
            </w:pPr>
            <w:r/>
            <w:r>
              <w:rPr>
                <w:b w:val="0"/>
                <w:sz w:val="18"/>
              </w:rPr>
              <w:t>Did the model learn?</w:t>
            </w:r>
          </w:p>
        </w:tc>
        <w:tc>
          <w:tcPr>
            <w:tcW w:type="dxa" w:w="6768"/>
          </w:tcPr>
          <w:p>
            <w:pPr>
              <w:spacing w:before="20" w:after="20"/>
            </w:pPr>
            <w:r/>
            <w:r>
              <w:rPr>
                <w:b w:val="0"/>
                <w:sz w:val="18"/>
              </w:rPr>
              <w:t>Yes — WER halved, CER fell 60.2%, validation loss fell 47.0%</w:t>
            </w:r>
          </w:p>
        </w:tc>
      </w:tr>
      <w:tr>
        <w:trPr>
          <w:cantSplit/>
        </w:trPr>
        <w:tc>
          <w:tcPr>
            <w:tcW w:type="dxa" w:w="2736"/>
          </w:tcPr>
          <w:p>
            <w:pPr>
              <w:spacing w:before="20" w:after="20"/>
            </w:pPr>
            <w:r/>
            <w:r>
              <w:rPr>
                <w:b w:val="0"/>
                <w:sz w:val="18"/>
              </w:rPr>
              <w:t>Did it overfit?</w:t>
            </w:r>
          </w:p>
        </w:tc>
        <w:tc>
          <w:tcPr>
            <w:tcW w:type="dxa" w:w="6768"/>
          </w:tcPr>
          <w:p>
            <w:pPr>
              <w:spacing w:before="20" w:after="20"/>
            </w:pPr>
            <w:r/>
            <w:r>
              <w:rPr>
                <w:b w:val="0"/>
                <w:sz w:val="18"/>
              </w:rPr>
              <w:t>No — validation loss fell at every measurement and was still falling</w:t>
            </w:r>
          </w:p>
        </w:tc>
      </w:tr>
      <w:tr>
        <w:trPr>
          <w:cantSplit/>
        </w:trPr>
        <w:tc>
          <w:tcPr>
            <w:tcW w:type="dxa" w:w="2736"/>
          </w:tcPr>
          <w:p>
            <w:pPr>
              <w:spacing w:before="20" w:after="20"/>
            </w:pPr>
            <w:r/>
            <w:r>
              <w:rPr>
                <w:b w:val="0"/>
                <w:sz w:val="18"/>
              </w:rPr>
              <w:t>Was training stable?</w:t>
            </w:r>
          </w:p>
        </w:tc>
        <w:tc>
          <w:tcPr>
            <w:tcW w:type="dxa" w:w="6768"/>
          </w:tcPr>
          <w:p>
            <w:pPr>
              <w:spacing w:before="20" w:after="20"/>
            </w:pPr>
            <w:r/>
            <w:r>
              <w:rPr>
                <w:b w:val="0"/>
                <w:sz w:val="18"/>
              </w:rPr>
              <w:t>Yes — norm bounded, max 2.759, one benign fp16 scaler event</w:t>
            </w:r>
          </w:p>
        </w:tc>
      </w:tr>
      <w:tr>
        <w:trPr>
          <w:cantSplit/>
        </w:trPr>
        <w:tc>
          <w:tcPr>
            <w:tcW w:type="dxa" w:w="2736"/>
          </w:tcPr>
          <w:p>
            <w:pPr>
              <w:spacing w:before="20" w:after="20"/>
            </w:pPr>
            <w:r/>
            <w:r>
              <w:rPr>
                <w:b w:val="0"/>
                <w:sz w:val="18"/>
              </w:rPr>
              <w:t>Had it converged?</w:t>
            </w:r>
          </w:p>
        </w:tc>
        <w:tc>
          <w:tcPr>
            <w:tcW w:type="dxa" w:w="6768"/>
          </w:tcPr>
          <w:p>
            <w:pPr>
              <w:spacing w:before="20" w:after="20"/>
            </w:pPr>
            <w:r/>
            <w:r>
              <w:rPr>
                <w:b w:val="0"/>
                <w:sz w:val="18"/>
              </w:rPr>
              <w:t>Effectively by step 6,000; the last 270 steps moved WER less than the measurement noise</w:t>
            </w:r>
          </w:p>
        </w:tc>
      </w:tr>
      <w:tr>
        <w:trPr>
          <w:cantSplit/>
        </w:trPr>
        <w:tc>
          <w:tcPr>
            <w:tcW w:type="dxa" w:w="2736"/>
          </w:tcPr>
          <w:p>
            <w:pPr>
              <w:spacing w:before="20" w:after="20"/>
            </w:pPr>
            <w:r/>
            <w:r>
              <w:rPr>
                <w:b w:val="0"/>
                <w:sz w:val="18"/>
              </w:rPr>
              <w:t>Best checkpoint</w:t>
            </w:r>
          </w:p>
        </w:tc>
        <w:tc>
          <w:tcPr>
            <w:tcW w:type="dxa" w:w="6768"/>
          </w:tcPr>
          <w:p>
            <w:pPr>
              <w:spacing w:before="20" w:after="20"/>
            </w:pPr>
            <w:r/>
            <w:r>
              <w:rPr>
                <w:b w:val="0"/>
                <w:sz w:val="18"/>
              </w:rPr>
              <w:t>Step 6,270, the final one — WER improved monotonically</w:t>
            </w:r>
          </w:p>
        </w:tc>
      </w:tr>
      <w:tr>
        <w:trPr>
          <w:cantSplit/>
        </w:trPr>
        <w:tc>
          <w:tcPr>
            <w:tcW w:type="dxa" w:w="2736"/>
          </w:tcPr>
          <w:p>
            <w:pPr>
              <w:spacing w:before="20" w:after="20"/>
            </w:pPr>
            <w:r/>
            <w:r>
              <w:rPr>
                <w:b w:val="0"/>
                <w:sz w:val="18"/>
              </w:rPr>
              <w:t>Where was the last improvement going?</w:t>
            </w:r>
          </w:p>
        </w:tc>
        <w:tc>
          <w:tcPr>
            <w:tcW w:type="dxa" w:w="6768"/>
          </w:tcPr>
          <w:p>
            <w:pPr>
              <w:spacing w:before="20" w:after="20"/>
            </w:pPr>
            <w:r/>
            <w:r>
              <w:rPr>
                <w:b w:val="0"/>
                <w:sz w:val="18"/>
              </w:rPr>
              <w:t>Into the training set: 65% of post-epoch-1 training-loss reduction occurred at the two epoch boundaries</w:t>
            </w:r>
          </w:p>
        </w:tc>
      </w:tr>
    </w:tbl>
    <w:p>
      <w:pPr>
        <w:spacing w:after="20"/>
      </w:pP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