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18EF" w14:textId="77777777" w:rsidR="00DB773B" w:rsidRDefault="006A4260">
      <w:pPr>
        <w:jc w:val="center"/>
      </w:pPr>
      <w:r>
        <w:rPr>
          <w:b/>
          <w:sz w:val="40"/>
        </w:rPr>
        <w:t>Implementing Secure Governance and Technical Controls for Generative AI Usage in a Managed Service Provider Environment</w:t>
      </w:r>
      <w:r>
        <w:rPr>
          <w:b/>
          <w:sz w:val="40"/>
        </w:rPr>
        <w:br/>
      </w:r>
    </w:p>
    <w:p w14:paraId="7F326E59" w14:textId="77777777" w:rsidR="00DB773B" w:rsidRDefault="006A4260">
      <w:r>
        <w:br/>
      </w:r>
    </w:p>
    <w:p w14:paraId="4CC05141" w14:textId="77777777" w:rsidR="00DB773B" w:rsidRDefault="006A4260">
      <w:pPr>
        <w:jc w:val="center"/>
      </w:pPr>
      <w:r>
        <w:rPr>
          <w:b/>
        </w:rPr>
        <w:t>Brent Petty</w:t>
      </w:r>
      <w:r>
        <w:rPr>
          <w:b/>
        </w:rPr>
        <w:br/>
      </w:r>
      <w:r>
        <w:t>Western Governors University</w:t>
      </w:r>
      <w:r>
        <w:br/>
      </w:r>
      <w:r>
        <w:t>D833 Cybersecurity and Information Assurance Capstone</w:t>
      </w:r>
      <w:r>
        <w:br/>
        <w:t>March 2026</w:t>
      </w:r>
      <w:r>
        <w:br/>
      </w:r>
    </w:p>
    <w:p w14:paraId="08FA0D73" w14:textId="77777777" w:rsidR="00DB773B" w:rsidRDefault="006A4260">
      <w:r>
        <w:br w:type="page"/>
      </w:r>
    </w:p>
    <w:p w14:paraId="7BE2984A" w14:textId="77777777" w:rsidR="00DB773B" w:rsidRDefault="006A4260">
      <w:pPr>
        <w:pStyle w:val="Heading1"/>
      </w:pPr>
      <w:r>
        <w:lastRenderedPageBreak/>
        <w:t>Background</w:t>
      </w:r>
    </w:p>
    <w:p w14:paraId="3EF952D5" w14:textId="77777777" w:rsidR="00DB773B" w:rsidRDefault="006A4260">
      <w:r>
        <w:t>The proposed project will take place within a mid-sized managed service provider (MSP) environment that supports multiple small-to-medium business clients. Employees regularly access client systems for troubleshooting and support.</w:t>
      </w:r>
    </w:p>
    <w:p w14:paraId="7DEB8A45" w14:textId="77777777" w:rsidR="00DB773B" w:rsidRDefault="006A4260">
      <w:r>
        <w:t>Generative AI tools such as Microsoft Copilot are increasingly used to improve efficiency. However, their rapid adoption has introduced new risks.</w:t>
      </w:r>
    </w:p>
    <w:p w14:paraId="5024718D" w14:textId="77777777" w:rsidR="00DB773B" w:rsidRDefault="006A4260">
      <w:r>
        <w:t>The NIST Cybersecurity Framework emphasizes identifying and protecting sensitive data, while the NIST AI Risk Management Framework highlights risks related to AI misuse and governance (NIST, 2018; NIST, 2023).</w:t>
      </w:r>
    </w:p>
    <w:p w14:paraId="21250B10" w14:textId="77777777" w:rsidR="00DB773B" w:rsidRDefault="006A4260">
      <w:pPr>
        <w:pStyle w:val="Heading1"/>
      </w:pPr>
      <w:r>
        <w:t>Problem</w:t>
      </w:r>
    </w:p>
    <w:p w14:paraId="25261A50" w14:textId="77777777" w:rsidR="00DB773B" w:rsidRDefault="006A4260">
      <w:r>
        <w:t>The cybersecurity problem is the unmanaged use of generative AI tools, which can lead to exposure of sensitive client data.</w:t>
      </w:r>
    </w:p>
    <w:p w14:paraId="41CC3D10" w14:textId="77777777" w:rsidR="00DB773B" w:rsidRDefault="006A4260">
      <w:r>
        <w:t>Employees may input logs or configurations into AI tools, creating risk of data leakage. This is significant due to the MSP’s exposure to multiple clients.</w:t>
      </w:r>
    </w:p>
    <w:p w14:paraId="534F6C06" w14:textId="77777777" w:rsidR="00DB773B" w:rsidRDefault="006A4260">
      <w:r>
        <w:t>NIST and CIS emphasize the need for data protection and monitoring controls to mitigate such risks (NIST, 2023; CIS, 2021).</w:t>
      </w:r>
    </w:p>
    <w:p w14:paraId="28EFFA86" w14:textId="77777777" w:rsidR="00DB773B" w:rsidRDefault="006A4260">
      <w:pPr>
        <w:pStyle w:val="Heading1"/>
      </w:pPr>
      <w:r>
        <w:t>Scope</w:t>
      </w:r>
    </w:p>
    <w:p w14:paraId="196AA014" w14:textId="77777777" w:rsidR="00DB773B" w:rsidRDefault="006A4260">
      <w:r>
        <w:t>The scope includes endpoint devices, AI applications, and MSP internal networks.</w:t>
      </w:r>
    </w:p>
    <w:p w14:paraId="2A8BD7FD" w14:textId="77777777" w:rsidR="00DB773B" w:rsidRDefault="006A4260">
      <w:r>
        <w:t>Data includes configurations, logs, and client-sensitive information. The solution focuses on internal MSP processes rather than client systems.</w:t>
      </w:r>
    </w:p>
    <w:p w14:paraId="51E9CBA4" w14:textId="77777777" w:rsidR="00DB773B" w:rsidRDefault="006A4260">
      <w:pPr>
        <w:pStyle w:val="Heading1"/>
      </w:pPr>
      <w:r>
        <w:t>Stakeholders</w:t>
      </w:r>
    </w:p>
    <w:p w14:paraId="11363E67" w14:textId="77777777" w:rsidR="00DB773B" w:rsidRDefault="006A4260">
      <w:r>
        <w:t>Stakeholders include IT teams, security teams, leadership, clients, compliance personnel, and employees.</w:t>
      </w:r>
    </w:p>
    <w:p w14:paraId="6904B781" w14:textId="77777777" w:rsidR="00DB773B" w:rsidRDefault="006A4260">
      <w:r>
        <w:t>Each group plays a role in implementation, oversight, and adherence to policies.</w:t>
      </w:r>
    </w:p>
    <w:p w14:paraId="7500B1A4" w14:textId="77777777" w:rsidR="00DB773B" w:rsidRDefault="006A4260">
      <w:pPr>
        <w:pStyle w:val="Heading1"/>
      </w:pPr>
      <w:r>
        <w:t>Risk Assessment</w:t>
      </w:r>
    </w:p>
    <w:p w14:paraId="36ABE25B" w14:textId="77777777" w:rsidR="00DB773B" w:rsidRDefault="006A4260">
      <w:r>
        <w:t>Risk 1: Data leakage via AI prompts (High likelihood, High severity).</w:t>
      </w:r>
      <w:r>
        <w:br/>
        <w:t>Risk 2: Prompt injection leading to incorrect actions (Medium likelihood, High severity).</w:t>
      </w:r>
    </w:p>
    <w:p w14:paraId="7B17879C" w14:textId="77777777" w:rsidR="00DB773B" w:rsidRDefault="006A4260">
      <w:r>
        <w:t>This risk assessment follows NIST SP 800-30 methodology (NIST, 2012).</w:t>
      </w:r>
    </w:p>
    <w:p w14:paraId="50BA619C" w14:textId="77777777" w:rsidR="00DB773B" w:rsidRDefault="006A4260">
      <w:pPr>
        <w:pStyle w:val="Heading1"/>
      </w:pPr>
      <w:r>
        <w:lastRenderedPageBreak/>
        <w:t>Objectives</w:t>
      </w:r>
    </w:p>
    <w:p w14:paraId="193F73EB" w14:textId="77777777" w:rsidR="00DB773B" w:rsidRDefault="006A4260">
      <w:r>
        <w:t>Objectives include implementing DLP, monitoring AI usage, enforcing policies, and aligning with NIST and CIS frameworks.</w:t>
      </w:r>
    </w:p>
    <w:p w14:paraId="324EB478" w14:textId="77777777" w:rsidR="00DB773B" w:rsidRDefault="006A4260">
      <w:pPr>
        <w:pStyle w:val="Heading1"/>
      </w:pPr>
      <w:r>
        <w:t>Proposed Solution</w:t>
      </w:r>
    </w:p>
    <w:p w14:paraId="106E3EFB" w14:textId="77777777" w:rsidR="00DB773B" w:rsidRDefault="006A4260">
      <w:r>
        <w:t>The solution uses Microsoft Purview, Defender for Endpoint, and Sentinel to enforce DLP, monitoring, and logging.</w:t>
      </w:r>
    </w:p>
    <w:p w14:paraId="7072DF6C" w14:textId="77777777" w:rsidR="00DB773B" w:rsidRDefault="006A4260">
      <w:r>
        <w:t>This integrates with existing infrastructure and enhances visibility.</w:t>
      </w:r>
    </w:p>
    <w:p w14:paraId="01F233F0" w14:textId="77777777" w:rsidR="00DB773B" w:rsidRDefault="006A4260">
      <w:pPr>
        <w:pStyle w:val="Heading1"/>
      </w:pPr>
      <w:r>
        <w:t>Standards</w:t>
      </w:r>
    </w:p>
    <w:p w14:paraId="43BF41D9" w14:textId="77777777" w:rsidR="00DB773B" w:rsidRDefault="006A4260">
      <w:r>
        <w:t>Aligned with NIST CSF, NIST SP 800-53, AI RMF, and CIS Controls (NIST, 2018; NIST, 2020; NIST, 2023; CIS, 2021).</w:t>
      </w:r>
    </w:p>
    <w:p w14:paraId="1B4DFC80" w14:textId="77777777" w:rsidR="00DB773B" w:rsidRDefault="006A4260">
      <w:pPr>
        <w:pStyle w:val="Heading1"/>
      </w:pPr>
      <w:r>
        <w:t>Integration</w:t>
      </w:r>
    </w:p>
    <w:p w14:paraId="19DC7CBD" w14:textId="77777777" w:rsidR="00DB773B" w:rsidRDefault="006A4260">
      <w:r>
        <w:t>The solution integrates with existing systems using Microsoft tools, enhancing monitoring and control without disruption.</w:t>
      </w:r>
    </w:p>
    <w:p w14:paraId="3AAA2804" w14:textId="77777777" w:rsidR="00DB773B" w:rsidRDefault="006A4260">
      <w:pPr>
        <w:pStyle w:val="Heading1"/>
      </w:pPr>
      <w:r>
        <w:t>Reporting</w:t>
      </w:r>
    </w:p>
    <w:p w14:paraId="2CCDF4A0" w14:textId="77777777" w:rsidR="00DB773B" w:rsidRDefault="006A4260">
      <w:r>
        <w:t>Logging and reporting are handled via Microsoft Sentinel and Purview, providing audit trails and compliance visibility.</w:t>
      </w:r>
    </w:p>
    <w:p w14:paraId="742E696D" w14:textId="77777777" w:rsidR="00DB773B" w:rsidRDefault="006A4260">
      <w:pPr>
        <w:pStyle w:val="Heading1"/>
      </w:pPr>
      <w:r>
        <w:t>Justification</w:t>
      </w:r>
    </w:p>
    <w:p w14:paraId="338F697E" w14:textId="77777777" w:rsidR="00DB773B" w:rsidRDefault="006A4260">
      <w:r>
        <w:t>This solution is preferred over policy-only or third-party tools due to integration, cost efficiency, and comprehensive control.</w:t>
      </w:r>
    </w:p>
    <w:p w14:paraId="1FCEDA05" w14:textId="77777777" w:rsidR="00DB773B" w:rsidRDefault="006A4260">
      <w:pPr>
        <w:pStyle w:val="Heading1"/>
      </w:pPr>
      <w:r>
        <w:t>Cost</w:t>
      </w:r>
    </w:p>
    <w:p w14:paraId="5D8EC416" w14:textId="77777777" w:rsidR="00DB773B" w:rsidRDefault="006A4260">
      <w:r>
        <w:t>Estimated implementation: $5,000–$15,000.</w:t>
      </w:r>
      <w:r>
        <w:br/>
        <w:t>Monthly cost: $2,000–$6,000.</w:t>
      </w:r>
    </w:p>
    <w:p w14:paraId="49056AC4" w14:textId="77777777" w:rsidR="00DB773B" w:rsidRDefault="006A4260">
      <w:pPr>
        <w:pStyle w:val="Heading1"/>
      </w:pPr>
      <w:r>
        <w:t>Implementation Plan</w:t>
      </w:r>
    </w:p>
    <w:p w14:paraId="6FDDB4D2" w14:textId="77777777" w:rsidR="00DB773B" w:rsidRDefault="006A4260">
      <w:r>
        <w:t>Timeline spans 10 weeks: assessment, design, implementation, testing, deployment, monitoring.</w:t>
      </w:r>
    </w:p>
    <w:p w14:paraId="276ED167" w14:textId="77777777" w:rsidR="00DB773B" w:rsidRDefault="006A4260">
      <w:pPr>
        <w:pStyle w:val="Heading1"/>
      </w:pPr>
      <w:r>
        <w:t>Resources</w:t>
      </w:r>
    </w:p>
    <w:p w14:paraId="616432A9" w14:textId="77777777" w:rsidR="00DB773B" w:rsidRDefault="006A4260">
      <w:r>
        <w:t>Includes personnel (security engineers), tools (Microsoft stack), and stakeholder support.</w:t>
      </w:r>
    </w:p>
    <w:p w14:paraId="5BF859DB" w14:textId="77777777" w:rsidR="00DB773B" w:rsidRDefault="006A4260">
      <w:pPr>
        <w:pStyle w:val="Heading1"/>
      </w:pPr>
      <w:r>
        <w:lastRenderedPageBreak/>
        <w:t>Dependencies</w:t>
      </w:r>
    </w:p>
    <w:p w14:paraId="619C05F1" w14:textId="77777777" w:rsidR="00DB773B" w:rsidRDefault="006A4260">
      <w:r>
        <w:t>Dependencies include licensing, endpoint configuration, and user cooperation.</w:t>
      </w:r>
    </w:p>
    <w:p w14:paraId="399CD128" w14:textId="77777777" w:rsidR="00DB773B" w:rsidRDefault="006A4260">
      <w:pPr>
        <w:pStyle w:val="Heading1"/>
      </w:pPr>
      <w:r>
        <w:t>Risk Mitigation</w:t>
      </w:r>
    </w:p>
    <w:p w14:paraId="5010C6DE" w14:textId="77777777" w:rsidR="00DB773B" w:rsidRDefault="006A4260">
      <w:r>
        <w:t>Risks are mitigated per phase through testing, communication, and monitoring adjustments.</w:t>
      </w:r>
    </w:p>
    <w:p w14:paraId="2EAA1C99" w14:textId="77777777" w:rsidR="00DB773B" w:rsidRDefault="006A4260">
      <w:pPr>
        <w:pStyle w:val="Heading1"/>
      </w:pPr>
      <w:r>
        <w:t>Benefits</w:t>
      </w:r>
    </w:p>
    <w:p w14:paraId="4F17ED47" w14:textId="77777777" w:rsidR="00DB773B" w:rsidRDefault="006A4260">
      <w:r>
        <w:t>Improves security posture, enhances visibility, and reduces risk of data leakage.</w:t>
      </w:r>
    </w:p>
    <w:p w14:paraId="63F69282" w14:textId="77777777" w:rsidR="00DB773B" w:rsidRDefault="006A4260">
      <w:pPr>
        <w:pStyle w:val="Heading1"/>
      </w:pPr>
      <w:r>
        <w:t>Operational Impact</w:t>
      </w:r>
    </w:p>
    <w:p w14:paraId="055F7DA4" w14:textId="77777777" w:rsidR="00DB773B" w:rsidRDefault="006A4260">
      <w:r>
        <w:t>Minimal performance impact, improved efficiency, and manageable user experience changes.</w:t>
      </w:r>
    </w:p>
    <w:p w14:paraId="3B63AC15" w14:textId="77777777" w:rsidR="00DB773B" w:rsidRDefault="006A4260">
      <w:pPr>
        <w:pStyle w:val="Heading1"/>
      </w:pPr>
      <w:r>
        <w:t>Business Impact</w:t>
      </w:r>
    </w:p>
    <w:p w14:paraId="79CD819C" w14:textId="77777777" w:rsidR="00DB773B" w:rsidRDefault="006A4260">
      <w:r>
        <w:t>Improves trust, reduces legal risk, and enables secure innovation.</w:t>
      </w:r>
    </w:p>
    <w:p w14:paraId="5BF231A9" w14:textId="77777777" w:rsidR="00DB773B" w:rsidRDefault="006A4260">
      <w:pPr>
        <w:pStyle w:val="Heading1"/>
      </w:pPr>
      <w:r>
        <w:t>Conclusion</w:t>
      </w:r>
    </w:p>
    <w:p w14:paraId="75680120" w14:textId="77777777" w:rsidR="00DB773B" w:rsidRDefault="006A4260">
      <w:r>
        <w:t>This solution mitigates AI-related risks and supports secure adoption of emerging technologies.</w:t>
      </w:r>
    </w:p>
    <w:p w14:paraId="32001592" w14:textId="77777777" w:rsidR="00DB773B" w:rsidRDefault="006A4260">
      <w:pPr>
        <w:pStyle w:val="Heading1"/>
      </w:pPr>
      <w:r>
        <w:t>Appendices</w:t>
      </w:r>
    </w:p>
    <w:p w14:paraId="48486013" w14:textId="77777777" w:rsidR="00DB773B" w:rsidRDefault="006A4260">
      <w:r>
        <w:t>Appendix A: Architecture overview</w:t>
      </w:r>
      <w:r>
        <w:br/>
        <w:t>Appendix B: Sample DLP policy</w:t>
      </w:r>
    </w:p>
    <w:p w14:paraId="1B9A912C" w14:textId="77777777" w:rsidR="00DB773B" w:rsidRDefault="006A4260">
      <w:pPr>
        <w:pStyle w:val="Heading1"/>
      </w:pPr>
      <w:r>
        <w:t>References</w:t>
      </w:r>
    </w:p>
    <w:p w14:paraId="13BFF76A" w14:textId="77777777" w:rsidR="00DB773B" w:rsidRDefault="006A4260">
      <w:r>
        <w:t>References</w:t>
      </w:r>
    </w:p>
    <w:p w14:paraId="46835A59" w14:textId="77777777" w:rsidR="00DB773B" w:rsidRDefault="006A4260">
      <w:r>
        <w:t>National Institute of Standards and Technology. (2018). Cybersecurity Framework.</w:t>
      </w:r>
      <w:r>
        <w:br/>
        <w:t>National Institute of Standards and Technology. (2020). SP 800-53.</w:t>
      </w:r>
      <w:r>
        <w:br/>
        <w:t>National Institute of Standards and Technology. (2023). AI RMF.</w:t>
      </w:r>
      <w:r>
        <w:br/>
        <w:t>Center for Internet Security. (2021). CIS Controls v8.</w:t>
      </w:r>
    </w:p>
    <w:sectPr w:rsidR="00DB7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235689">
    <w:abstractNumId w:val="8"/>
  </w:num>
  <w:num w:numId="2" w16cid:durableId="2087457378">
    <w:abstractNumId w:val="6"/>
  </w:num>
  <w:num w:numId="3" w16cid:durableId="597566436">
    <w:abstractNumId w:val="5"/>
  </w:num>
  <w:num w:numId="4" w16cid:durableId="735587199">
    <w:abstractNumId w:val="4"/>
  </w:num>
  <w:num w:numId="5" w16cid:durableId="1706785191">
    <w:abstractNumId w:val="7"/>
  </w:num>
  <w:num w:numId="6" w16cid:durableId="1663193192">
    <w:abstractNumId w:val="3"/>
  </w:num>
  <w:num w:numId="7" w16cid:durableId="1513685525">
    <w:abstractNumId w:val="2"/>
  </w:num>
  <w:num w:numId="8" w16cid:durableId="1507480367">
    <w:abstractNumId w:val="1"/>
  </w:num>
  <w:num w:numId="9" w16cid:durableId="96647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0E"/>
    <w:rsid w:val="0015074B"/>
    <w:rsid w:val="0029639D"/>
    <w:rsid w:val="002D561E"/>
    <w:rsid w:val="00326F90"/>
    <w:rsid w:val="006A4260"/>
    <w:rsid w:val="009E1D1B"/>
    <w:rsid w:val="00AA1D8D"/>
    <w:rsid w:val="00B47730"/>
    <w:rsid w:val="00C34332"/>
    <w:rsid w:val="00CB0664"/>
    <w:rsid w:val="00DB7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1077C0-893B-4B2B-8244-90EA669A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Brent Petty</cp:lastModifiedBy>
  <cp:revision>3</cp:revision>
  <cp:lastPrinted>2026-03-31T01:10:00Z</cp:lastPrinted>
  <dcterms:created xsi:type="dcterms:W3CDTF">2013-12-23T23:15:00Z</dcterms:created>
  <dcterms:modified xsi:type="dcterms:W3CDTF">2026-04-06T23:38:00Z</dcterms:modified>
  <cp:category/>
</cp:coreProperties>
</file>