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Brent Petty</w:t>
      </w:r>
    </w:p>
    <w:p>
      <w:pPr>
        <w:spacing w:after="160"/>
        <w:jc w:val="center"/>
      </w:pPr>
      <w:r>
        <w:rPr>
          <w:rFonts w:ascii="Calibri" w:cs="Calibri" w:eastAsia="Calibri" w:hAnsi="Calibri"/>
          <w:color w:val="222222"/>
          <w:sz w:val="19"/>
          <w:szCs w:val="19"/>
        </w:rPr>
        <w:t xml:space="preserve">720-240-3150  •  brentpetty@comcast.net  •  Parker, CO  •  </w:t>
      </w:r>
      <w:hyperlink w:history="1" r:id="rIdaq0tgdb_m2zprldhhzknm">
        <w:r>
          <w:rPr>
            <w:rFonts w:ascii="Calibri" w:cs="Calibri" w:eastAsia="Calibri" w:hAnsi="Calibri"/>
            <w:color w:val="1155CC"/>
            <w:sz w:val="20"/>
            <w:szCs w:val="20"/>
            <w:u w:val="single"/>
          </w:rPr>
          <w:t xml:space="preserve">LinkedIn Profile</w:t>
        </w:r>
      </w:hyperlink>
    </w:p>
    <w:p>
      <w:pPr>
        <w:pBdr>
          <w:bottom w:val="single" w:color="1F3864" w:sz="6" w:space="2"/>
        </w:pBdr>
        <w:spacing w:after="100" w:before="240"/>
      </w:pPr>
      <w:r>
        <w:rPr>
          <w:rFonts w:ascii="Calibri" w:cs="Calibri" w:eastAsia="Calibri" w:hAnsi="Calibri"/>
          <w:b/>
          <w:bCs/>
          <w:caps/>
          <w:color w:val="1F3864"/>
          <w:sz w:val="22"/>
          <w:szCs w:val="22"/>
        </w:rPr>
        <w:t xml:space="preserve">Professional Summary</w:t>
      </w:r>
    </w:p>
    <w:p>
      <w:pPr>
        <w:spacing w:after="100"/>
      </w:pPr>
      <w:r>
        <w:rPr>
          <w:rFonts w:ascii="Calibri" w:cs="Calibri" w:eastAsia="Calibri" w:hAnsi="Calibri"/>
          <w:color w:val="222222"/>
          <w:sz w:val="20"/>
          <w:szCs w:val="20"/>
        </w:rPr>
        <w:t xml:space="preserve">Operations and cybersecurity professional with experience improving processes, reducing organizational risk, and developing operational standards in regulated environments. Combines hands-on MSP experience with a Bachelor of Science in Cybersecurity and Information Assurance and industry certifications to support security operations, governance, compliance, and continuous improvement. Recognized for analytical thinking, clear communication, and translating technical concepts into practical business solutions.</w:t>
      </w:r>
    </w:p>
    <w:p>
      <w:pPr>
        <w:pBdr>
          <w:bottom w:val="single" w:color="1F3864" w:sz="6" w:space="2"/>
        </w:pBdr>
        <w:spacing w:after="100" w:before="240"/>
      </w:pPr>
      <w:r>
        <w:rPr>
          <w:rFonts w:ascii="Calibri" w:cs="Calibri" w:eastAsia="Calibri" w:hAnsi="Calibri"/>
          <w:b/>
          <w:bCs/>
          <w:caps/>
          <w:color w:val="1F3864"/>
          <w:sz w:val="22"/>
          <w:szCs w:val="22"/>
        </w:rPr>
        <w:t xml:space="preserve">Certifications</w:t>
      </w:r>
    </w:p>
    <w:tbl>
      <w:tblPr>
        <w:tblW w:type="dxa" w:w="9900"/>
        <w:tblBorders>
          <w:top w:val="none" w:color="FFFFFF" w:sz="0"/>
          <w:left w:val="none" w:color="FFFFFF" w:sz="0"/>
          <w:bottom w:val="none" w:color="FFFFFF" w:sz="0"/>
          <w:right w:val="none" w:color="FFFFFF" w:sz="0"/>
          <w:insideH w:val="single" w:color="auto" w:sz="4"/>
          <w:insideV w:val="single" w:color="auto" w:sz="4"/>
        </w:tblBorders>
      </w:tblPr>
      <w:tblGrid>
        <w:gridCol w:w="3300"/>
        <w:gridCol w:w="3300"/>
        <w:gridCol w:w="3300"/>
      </w:tblGrid>
      <w:tr>
        <w:tc>
          <w:tcPr>
            <w:tcW w:type="dxa" w:w="33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Calibri" w:cs="Calibri" w:eastAsia="Calibri" w:hAnsi="Calibri"/>
                <w:color w:val="222222"/>
                <w:sz w:val="19"/>
                <w:szCs w:val="19"/>
              </w:rPr>
              <w:t xml:space="preserve">•  ISC2 SSCP</w:t>
            </w:r>
          </w:p>
        </w:tc>
        <w:tc>
          <w:tcPr>
            <w:tcW w:type="dxa" w:w="33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Calibri" w:cs="Calibri" w:eastAsia="Calibri" w:hAnsi="Calibri"/>
                <w:color w:val="222222"/>
                <w:sz w:val="19"/>
                <w:szCs w:val="19"/>
              </w:rPr>
              <w:t xml:space="preserve">•  CompTIA PenTest+</w:t>
            </w:r>
          </w:p>
        </w:tc>
        <w:tc>
          <w:tcPr>
            <w:tcW w:type="dxa" w:w="33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Calibri" w:cs="Calibri" w:eastAsia="Calibri" w:hAnsi="Calibri"/>
                <w:color w:val="222222"/>
                <w:sz w:val="19"/>
                <w:szCs w:val="19"/>
              </w:rPr>
              <w:t xml:space="preserve">•  CompTIA CySA+</w:t>
            </w:r>
          </w:p>
        </w:tc>
      </w:tr>
      <w:tr>
        <w:tc>
          <w:tcPr>
            <w:tcW w:type="dxa" w:w="33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Calibri" w:cs="Calibri" w:eastAsia="Calibri" w:hAnsi="Calibri"/>
                <w:color w:val="222222"/>
                <w:sz w:val="19"/>
                <w:szCs w:val="19"/>
              </w:rPr>
              <w:t xml:space="preserve">•  CompTIA Security+</w:t>
            </w:r>
          </w:p>
        </w:tc>
        <w:tc>
          <w:tcPr>
            <w:tcW w:type="dxa" w:w="33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Calibri" w:cs="Calibri" w:eastAsia="Calibri" w:hAnsi="Calibri"/>
                <w:color w:val="222222"/>
                <w:sz w:val="19"/>
                <w:szCs w:val="19"/>
              </w:rPr>
              <w:t xml:space="preserve">•  CompTIA Network+</w:t>
            </w:r>
          </w:p>
        </w:tc>
        <w:tc>
          <w:tcPr>
            <w:tcW w:type="dxa" w:w="33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Calibri" w:cs="Calibri" w:eastAsia="Calibri" w:hAnsi="Calibri"/>
                <w:color w:val="222222"/>
                <w:sz w:val="19"/>
                <w:szCs w:val="19"/>
              </w:rPr>
              <w:t xml:space="preserve">•  CompTIA A+</w:t>
            </w:r>
          </w:p>
        </w:tc>
      </w:tr>
      <w:tr>
        <w:tc>
          <w:tcPr>
            <w:tcW w:type="dxa" w:w="33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Calibri" w:cs="Calibri" w:eastAsia="Calibri" w:hAnsi="Calibri"/>
                <w:color w:val="222222"/>
                <w:sz w:val="19"/>
                <w:szCs w:val="19"/>
              </w:rPr>
              <w:t xml:space="preserve">•  ITIL 4 Foundations</w:t>
            </w:r>
          </w:p>
        </w:tc>
        <w:tc>
          <w:tcPr>
            <w:tcW w:type="dxa" w:w="33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Calibri" w:cs="Calibri" w:eastAsia="Calibri" w:hAnsi="Calibri"/>
                <w:color w:val="222222"/>
                <w:sz w:val="19"/>
                <w:szCs w:val="19"/>
              </w:rPr>
              <w:t xml:space="preserve">•  CompTIA Project+</w:t>
            </w:r>
          </w:p>
        </w:tc>
        <w:tc>
          <w:tcPr>
            <w:tcW w:type="dxa" w:w="33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Calibri" w:cs="Calibri" w:eastAsia="Calibri" w:hAnsi="Calibri"/>
                <w:color w:val="222222"/>
                <w:sz w:val="19"/>
                <w:szCs w:val="19"/>
              </w:rPr>
              <w:t xml:space="preserve">•  Linux Essentials</w:t>
            </w:r>
          </w:p>
        </w:tc>
      </w:tr>
      <w:tr>
        <w:tc>
          <w:tcPr>
            <w:tcW w:type="dxa" w:w="33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Calibri" w:cs="Calibri" w:eastAsia="Calibri" w:hAnsi="Calibri"/>
                <w:color w:val="222222"/>
                <w:sz w:val="19"/>
                <w:szCs w:val="19"/>
              </w:rPr>
              <w:t xml:space="preserve">•  Microsoft Azure Fundamentals</w:t>
            </w:r>
          </w:p>
        </w:tc>
        <w:tc>
          <w:tcPr>
            <w:tcW w:type="dxa" w:w="33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Calibri" w:cs="Calibri" w:eastAsia="Calibri" w:hAnsi="Calibri"/>
                <w:color w:val="222222"/>
                <w:sz w:val="19"/>
                <w:szCs w:val="19"/>
              </w:rPr>
              <w:t xml:space="preserve">•  Microsoft AI Fundamentals</w:t>
            </w:r>
          </w:p>
        </w:tc>
        <w:tc>
          <w:tcPr>
            <w:tcW w:type="dxa" w:w="33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Calibri" w:cs="Calibri" w:eastAsia="Calibri" w:hAnsi="Calibri"/>
                <w:color w:val="222222"/>
                <w:sz w:val="19"/>
                <w:szCs w:val="19"/>
              </w:rPr>
              <w:t xml:space="preserve">•  Microsoft Copilot &amp; Agent Admin</w:t>
            </w:r>
          </w:p>
        </w:tc>
      </w:tr>
    </w:tbl>
    <w:p>
      <w:pPr>
        <w:pBdr>
          <w:bottom w:val="single" w:color="1F3864" w:sz="6" w:space="2"/>
        </w:pBdr>
        <w:spacing w:after="100" w:before="240"/>
      </w:pPr>
      <w:r>
        <w:rPr>
          <w:rFonts w:ascii="Calibri" w:cs="Calibri" w:eastAsia="Calibri" w:hAnsi="Calibri"/>
          <w:b/>
          <w:bCs/>
          <w:caps/>
          <w:color w:val="1F3864"/>
          <w:sz w:val="22"/>
          <w:szCs w:val="22"/>
        </w:rPr>
        <w:t xml:space="preserve">Education</w:t>
      </w:r>
    </w:p>
    <w:p>
      <w:pPr>
        <w:spacing w:after="20"/>
      </w:pPr>
      <w:r>
        <w:rPr>
          <w:rFonts w:ascii="Calibri" w:cs="Calibri" w:eastAsia="Calibri" w:hAnsi="Calibri"/>
          <w:b/>
          <w:bCs/>
          <w:color w:val="222222"/>
          <w:sz w:val="20"/>
          <w:szCs w:val="20"/>
        </w:rPr>
        <w:t xml:space="preserve">Bachelor of Science, Cybersecurity and Information Assurance</w:t>
      </w:r>
    </w:p>
    <w:p>
      <w:pPr>
        <w:spacing w:after="100"/>
      </w:pPr>
      <w:r>
        <w:rPr>
          <w:rFonts w:ascii="Calibri" w:cs="Calibri" w:eastAsia="Calibri" w:hAnsi="Calibri"/>
          <w:color w:val="222222"/>
          <w:sz w:val="20"/>
          <w:szCs w:val="20"/>
        </w:rPr>
        <w:t xml:space="preserve">Western Governors University | 2026</w:t>
      </w:r>
    </w:p>
    <w:p>
      <w:pPr>
        <w:pBdr>
          <w:bottom w:val="single" w:color="1F3864" w:sz="6" w:space="2"/>
        </w:pBdr>
        <w:spacing w:after="100" w:before="240"/>
      </w:pPr>
      <w:r>
        <w:rPr>
          <w:rFonts w:ascii="Calibri" w:cs="Calibri" w:eastAsia="Calibri" w:hAnsi="Calibri"/>
          <w:b/>
          <w:bCs/>
          <w:caps/>
          <w:color w:val="1F3864"/>
          <w:sz w:val="22"/>
          <w:szCs w:val="22"/>
        </w:rPr>
        <w:t xml:space="preserve">Cybersecurity Projects</w:t>
      </w:r>
    </w:p>
    <w:p>
      <w:pPr>
        <w:spacing w:after="120"/>
      </w:pPr>
      <w:r>
        <w:rPr>
          <w:rFonts w:ascii="Calibri" w:cs="Calibri" w:eastAsia="Calibri" w:hAnsi="Calibri"/>
          <w:b/>
          <w:bCs/>
          <w:color w:val="222222"/>
          <w:sz w:val="20"/>
          <w:szCs w:val="20"/>
        </w:rPr>
        <w:t xml:space="preserve">GitHub Portfolio: </w:t>
      </w:r>
      <w:hyperlink w:history="1" r:id="rIdp_ijcyqujv2daxioowrw3">
        <w:r>
          <w:rPr>
            <w:rFonts w:ascii="Calibri" w:cs="Calibri" w:eastAsia="Calibri" w:hAnsi="Calibri"/>
            <w:color w:val="1155CC"/>
            <w:sz w:val="20"/>
            <w:szCs w:val="20"/>
            <w:u w:val="single"/>
          </w:rPr>
          <w:t xml:space="preserve">github.com/hossnfeffa</w:t>
        </w:r>
      </w:hyperlink>
    </w:p>
    <w:p>
      <w:pPr>
        <w:pStyle w:val="ListParagraph"/>
        <w:numPr>
          <w:ilvl w:val="0"/>
          <w:numId w:val="2"/>
        </w:numPr>
        <w:spacing w:after="100"/>
      </w:pPr>
      <w:hyperlink w:history="1" r:id="rIdvtntlxlxoooanvpxxr470">
        <w:r>
          <w:rPr>
            <w:rFonts w:ascii="Calibri" w:cs="Calibri" w:eastAsia="Calibri" w:hAnsi="Calibri"/>
            <w:b/>
            <w:bCs/>
            <w:color w:val="1155CC"/>
            <w:sz w:val="20"/>
            <w:szCs w:val="20"/>
            <w:u w:val="single"/>
          </w:rPr>
          <w:t xml:space="preserve">Generative AI Governance &amp; Risk Management Strategy (WGU Capstone)</w:t>
        </w:r>
      </w:hyperlink>
      <w:r>
        <w:rPr>
          <w:rFonts w:ascii="Calibri" w:cs="Calibri" w:eastAsia="Calibri" w:hAnsi="Calibri"/>
          <w:color w:val="222222"/>
          <w:sz w:val="20"/>
          <w:szCs w:val="20"/>
        </w:rPr>
        <w:t xml:space="preserve">  —  Governance framework and risk assessment for secure generative AI adoption in an MSP environment, aligned to NIST AI RMF, NIST CSF, and CIS Controls.</w:t>
      </w:r>
    </w:p>
    <w:p>
      <w:pPr>
        <w:pStyle w:val="ListParagraph"/>
        <w:numPr>
          <w:ilvl w:val="0"/>
          <w:numId w:val="2"/>
        </w:numPr>
        <w:spacing w:after="100"/>
      </w:pPr>
      <w:hyperlink w:history="1" r:id="rIdxrdo8rjeq4fsxfusk736l">
        <w:r>
          <w:rPr>
            <w:rFonts w:ascii="Calibri" w:cs="Calibri" w:eastAsia="Calibri" w:hAnsi="Calibri"/>
            <w:b/>
            <w:bCs/>
            <w:color w:val="1155CC"/>
            <w:sz w:val="20"/>
            <w:szCs w:val="20"/>
            <w:u w:val="single"/>
          </w:rPr>
          <w:t xml:space="preserve">Honeypot Lifecycle: Threat Hunting &amp; Incident Response Lab</w:t>
        </w:r>
      </w:hyperlink>
      <w:r>
        <w:rPr>
          <w:rFonts w:ascii="Calibri" w:cs="Calibri" w:eastAsia="Calibri" w:hAnsi="Calibri"/>
          <w:color w:val="222222"/>
          <w:sz w:val="20"/>
          <w:szCs w:val="20"/>
        </w:rPr>
        <w:t xml:space="preserve">  —  End-to-end incident response exercise using MDE Live Response, KQL, and Sentinel Workbooks to hunt and geolocate brute-force and credential-stuffing attacks against an exposed host.</w:t>
      </w:r>
    </w:p>
    <w:p>
      <w:pPr>
        <w:pStyle w:val="ListParagraph"/>
        <w:numPr>
          <w:ilvl w:val="0"/>
          <w:numId w:val="2"/>
        </w:numPr>
        <w:spacing w:after="100"/>
      </w:pPr>
      <w:hyperlink w:history="1" r:id="rIdomls9ylfa53n7fa2zf-3r">
        <w:r>
          <w:rPr>
            <w:rFonts w:ascii="Calibri" w:cs="Calibri" w:eastAsia="Calibri" w:hAnsi="Calibri"/>
            <w:b/>
            <w:bCs/>
            <w:color w:val="1155CC"/>
            <w:sz w:val="20"/>
            <w:szCs w:val="20"/>
            <w:u w:val="single"/>
          </w:rPr>
          <w:t xml:space="preserve">Service Desk Assistant AI Agent</w:t>
        </w:r>
      </w:hyperlink>
      <w:r>
        <w:rPr>
          <w:rFonts w:ascii="Calibri" w:cs="Calibri" w:eastAsia="Calibri" w:hAnsi="Calibri"/>
          <w:color w:val="222222"/>
          <w:sz w:val="20"/>
          <w:szCs w:val="20"/>
        </w:rPr>
        <w:t xml:space="preserve">  —  SOP-grounded AI co-pilot that guides technicians through troubleshooting, flags escalations, and drafts ConnectWise-ready documentation.</w:t>
      </w:r>
    </w:p>
    <w:p>
      <w:pPr>
        <w:pStyle w:val="ListParagraph"/>
        <w:numPr>
          <w:ilvl w:val="0"/>
          <w:numId w:val="2"/>
        </w:numPr>
        <w:spacing w:after="100"/>
      </w:pPr>
      <w:hyperlink w:history="1" r:id="rIdsak9ra9cxpbs_uus1ifg-">
        <w:r>
          <w:rPr>
            <w:rFonts w:ascii="Calibri" w:cs="Calibri" w:eastAsia="Calibri" w:hAnsi="Calibri"/>
            <w:b/>
            <w:bCs/>
            <w:color w:val="1155CC"/>
            <w:sz w:val="20"/>
            <w:szCs w:val="20"/>
            <w:u w:val="single"/>
          </w:rPr>
          <w:t xml:space="preserve">L2 Escalation Monitor</w:t>
        </w:r>
      </w:hyperlink>
      <w:r>
        <w:rPr>
          <w:rFonts w:ascii="Calibri" w:cs="Calibri" w:eastAsia="Calibri" w:hAnsi="Calibri"/>
          <w:color w:val="222222"/>
          <w:sz w:val="20"/>
          <w:szCs w:val="20"/>
        </w:rPr>
        <w:t xml:space="preserve">  —  Power Automate workflow using AI Builder/Azure OpenAI to monitor Tier-2 escalation threads in Teams and flag stalled or unowned tickets.</w:t>
      </w:r>
    </w:p>
    <w:p>
      <w:pPr>
        <w:pBdr>
          <w:bottom w:val="single" w:color="1F3864" w:sz="6" w:space="2"/>
        </w:pBdr>
        <w:spacing w:after="100" w:before="240"/>
      </w:pPr>
      <w:r>
        <w:rPr>
          <w:rFonts w:ascii="Calibri" w:cs="Calibri" w:eastAsia="Calibri" w:hAnsi="Calibri"/>
          <w:b/>
          <w:bCs/>
          <w:caps/>
          <w:color w:val="1F3864"/>
          <w:sz w:val="22"/>
          <w:szCs w:val="22"/>
        </w:rPr>
        <w:t xml:space="preserve">Work Experience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7440"/>
        <w:gridCol w:w="3000"/>
      </w:tblGrid>
      <w:tr>
        <w:tc>
          <w:tcPr>
            <w:tcW w:type="dxa" w:w="7440"/>
            <w:tcBorders>
              <w:top w:val="none" w:color="FFFFFF" w:sz="0"/>
              <w:left w:val="none" w:color="FFFFFF" w:sz="0"/>
              <w:bottom w:val="none" w:color="FFFFFF" w:sz="0"/>
              <w:right w:val="none" w:color="FFFFFF" w:sz="0"/>
            </w:tcBorders>
            <w:tcMar>
              <w:top w:type="dxa" w:w="40"/>
              <w:left w:type="dxa" w:w="0"/>
              <w:bottom w:type="dxa" w:w="20"/>
              <w:right w:type="dxa" w:w="0"/>
            </w:tcMar>
            <w:vAlign w:val="bottom"/>
          </w:tcPr>
          <w:p>
            <w:r>
              <w:rPr>
                <w:rFonts w:ascii="Calibri" w:cs="Calibri" w:eastAsia="Calibri" w:hAnsi="Calibri"/>
                <w:b/>
                <w:bCs/>
                <w:color w:val="222222"/>
                <w:sz w:val="21"/>
                <w:szCs w:val="21"/>
              </w:rPr>
              <w:t xml:space="preserve">Cybersecurity Analyst (Intern), LOGN Pacific │ Remote</w:t>
            </w:r>
          </w:p>
        </w:tc>
        <w:tc>
          <w:tcPr>
            <w:tcW w:type="dxa" w:w="3000"/>
            <w:tcBorders>
              <w:top w:val="none" w:color="FFFFFF" w:sz="0"/>
              <w:left w:val="none" w:color="FFFFFF" w:sz="0"/>
              <w:bottom w:val="none" w:color="FFFFFF" w:sz="0"/>
              <w:right w:val="none" w:color="FFFFFF" w:sz="0"/>
            </w:tcBorders>
            <w:tcMar>
              <w:top w:type="dxa" w:w="40"/>
              <w:left w:type="dxa" w:w="0"/>
              <w:bottom w:type="dxa" w:w="20"/>
              <w:right w:type="dxa" w:w="0"/>
            </w:tcMar>
            <w:vAlign w:val="bottom"/>
          </w:tcPr>
          <w:p>
            <w:pPr>
              <w:jc w:val="right"/>
            </w:pPr>
            <w:r>
              <w:rPr>
                <w:rFonts w:ascii="Calibri" w:cs="Calibri" w:eastAsia="Calibri" w:hAnsi="Calibri"/>
                <w:i/>
                <w:iCs/>
                <w:color w:val="555555"/>
                <w:sz w:val="19"/>
                <w:szCs w:val="19"/>
              </w:rPr>
              <w:t xml:space="preserve">February 2026</w:t>
            </w:r>
          </w:p>
        </w:tc>
      </w:tr>
    </w:tbl>
    <w:p>
      <w:pPr>
        <w:pStyle w:val="ListParagraph"/>
        <w:numPr>
          <w:ilvl w:val="0"/>
          <w:numId w:val="2"/>
        </w:numPr>
        <w:spacing w:after="60"/>
      </w:pPr>
      <w:r>
        <w:rPr>
          <w:rFonts w:ascii="Calibri" w:cs="Calibri" w:eastAsia="Calibri" w:hAnsi="Calibri"/>
          <w:color w:val="222222"/>
          <w:sz w:val="20"/>
          <w:szCs w:val="20"/>
        </w:rPr>
        <w:t xml:space="preserve">Completed a hands-on, community-driven cybersecurity internship program, earning Cybersecurity Analyst (Intern) standing by passing the certification exam and completing applied threat hunting and remediation exercises.</w:t>
      </w:r>
    </w:p>
    <w:p>
      <w:pPr>
        <w:pStyle w:val="ListParagraph"/>
        <w:numPr>
          <w:ilvl w:val="0"/>
          <w:numId w:val="2"/>
        </w:numPr>
        <w:spacing w:after="60"/>
      </w:pPr>
      <w:r>
        <w:rPr>
          <w:rFonts w:ascii="Calibri" w:cs="Calibri" w:eastAsia="Calibri" w:hAnsi="Calibri"/>
          <w:color w:val="222222"/>
          <w:sz w:val="20"/>
          <w:szCs w:val="20"/>
        </w:rPr>
        <w:t xml:space="preserve">Investigated a threat hunting scenario involving TOR browser activity, documenting indicators of compromise and findings in a formal threat hunt report.</w:t>
      </w:r>
    </w:p>
    <w:p>
      <w:pPr>
        <w:pStyle w:val="ListParagraph"/>
        <w:numPr>
          <w:ilvl w:val="0"/>
          <w:numId w:val="2"/>
        </w:numPr>
        <w:spacing w:after="60"/>
      </w:pPr>
      <w:r>
        <w:rPr>
          <w:rFonts w:ascii="Calibri" w:cs="Calibri" w:eastAsia="Calibri" w:hAnsi="Calibri"/>
          <w:color w:val="222222"/>
          <w:sz w:val="20"/>
          <w:szCs w:val="20"/>
        </w:rPr>
        <w:t xml:space="preserve">Applied DISA STIG hardening guidance (STIG-ID: WN10-AU-000500) to remediate a Windows 10 security configuration finding.</w:t>
      </w:r>
    </w:p>
    <w:p>
      <w:pPr>
        <w:pStyle w:val="ListParagraph"/>
        <w:numPr>
          <w:ilvl w:val="0"/>
          <w:numId w:val="2"/>
        </w:numPr>
        <w:spacing w:after="60"/>
      </w:pPr>
      <w:r>
        <w:rPr>
          <w:rFonts w:ascii="Calibri" w:cs="Calibri" w:eastAsia="Calibri" w:hAnsi="Calibri"/>
          <w:color w:val="222222"/>
          <w:sz w:val="20"/>
          <w:szCs w:val="20"/>
        </w:rPr>
        <w:t xml:space="preserve">Assisted community members with Kusto Query Language (KQL) threat hunting questions and PowerShell-based remediation troubleshooting.</w:t>
      </w:r>
    </w:p>
    <w:p>
      <w:pPr>
        <w:pStyle w:val="ListParagraph"/>
        <w:numPr>
          <w:ilvl w:val="0"/>
          <w:numId w:val="2"/>
        </w:numPr>
        <w:spacing w:after="60"/>
      </w:pPr>
      <w:r>
        <w:rPr>
          <w:rFonts w:ascii="Calibri" w:cs="Calibri" w:eastAsia="Calibri" w:hAnsi="Calibri"/>
          <w:color w:val="222222"/>
          <w:sz w:val="20"/>
          <w:szCs w:val="20"/>
        </w:rPr>
        <w:t xml:space="preserve">Published threat hunting documentation and security scripts to a public GitHub portfolio.</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7440"/>
        <w:gridCol w:w="3000"/>
      </w:tblGrid>
      <w:tr>
        <w:tc>
          <w:tcPr>
            <w:tcW w:type="dxa" w:w="7440"/>
            <w:tcBorders>
              <w:top w:val="none" w:color="FFFFFF" w:sz="0"/>
              <w:left w:val="none" w:color="FFFFFF" w:sz="0"/>
              <w:bottom w:val="none" w:color="FFFFFF" w:sz="0"/>
              <w:right w:val="none" w:color="FFFFFF" w:sz="0"/>
            </w:tcBorders>
            <w:tcMar>
              <w:top w:type="dxa" w:w="40"/>
              <w:left w:type="dxa" w:w="0"/>
              <w:bottom w:type="dxa" w:w="20"/>
              <w:right w:type="dxa" w:w="0"/>
            </w:tcMar>
            <w:vAlign w:val="bottom"/>
          </w:tcPr>
          <w:p>
            <w:r>
              <w:rPr>
                <w:rFonts w:ascii="Calibri" w:cs="Calibri" w:eastAsia="Calibri" w:hAnsi="Calibri"/>
                <w:b/>
                <w:bCs/>
                <w:color w:val="222222"/>
                <w:sz w:val="21"/>
                <w:szCs w:val="21"/>
              </w:rPr>
              <w:t xml:space="preserve">Service Coordinator, Verticomm │ Denver, CO</w:t>
            </w:r>
          </w:p>
        </w:tc>
        <w:tc>
          <w:tcPr>
            <w:tcW w:type="dxa" w:w="3000"/>
            <w:tcBorders>
              <w:top w:val="none" w:color="FFFFFF" w:sz="0"/>
              <w:left w:val="none" w:color="FFFFFF" w:sz="0"/>
              <w:bottom w:val="none" w:color="FFFFFF" w:sz="0"/>
              <w:right w:val="none" w:color="FFFFFF" w:sz="0"/>
            </w:tcBorders>
            <w:tcMar>
              <w:top w:type="dxa" w:w="40"/>
              <w:left w:type="dxa" w:w="0"/>
              <w:bottom w:type="dxa" w:w="20"/>
              <w:right w:type="dxa" w:w="0"/>
            </w:tcMar>
            <w:vAlign w:val="bottom"/>
          </w:tcPr>
          <w:p>
            <w:pPr>
              <w:jc w:val="right"/>
            </w:pPr>
            <w:r>
              <w:rPr>
                <w:rFonts w:ascii="Calibri" w:cs="Calibri" w:eastAsia="Calibri" w:hAnsi="Calibri"/>
                <w:i/>
                <w:iCs/>
                <w:color w:val="555555"/>
                <w:sz w:val="19"/>
                <w:szCs w:val="19"/>
              </w:rPr>
              <w:t xml:space="preserve">October 2025 – Present</w:t>
            </w:r>
          </w:p>
        </w:tc>
      </w:tr>
    </w:tbl>
    <w:p>
      <w:pPr>
        <w:pStyle w:val="ListParagraph"/>
        <w:numPr>
          <w:ilvl w:val="0"/>
          <w:numId w:val="2"/>
        </w:numPr>
        <w:spacing w:after="60"/>
      </w:pPr>
      <w:r>
        <w:rPr>
          <w:rFonts w:ascii="Calibri" w:cs="Calibri" w:eastAsia="Calibri" w:hAnsi="Calibri"/>
          <w:color w:val="222222"/>
          <w:sz w:val="20"/>
          <w:szCs w:val="20"/>
        </w:rPr>
        <w:t xml:space="preserve">Established the organization's Service Coordinator function from the ground up, designing operational workflows and defining responsibilities that improved service delivery and internal coordination.</w:t>
      </w:r>
    </w:p>
    <w:p>
      <w:pPr>
        <w:pStyle w:val="ListParagraph"/>
        <w:numPr>
          <w:ilvl w:val="0"/>
          <w:numId w:val="2"/>
        </w:numPr>
        <w:spacing w:after="60"/>
      </w:pPr>
      <w:r>
        <w:rPr>
          <w:rFonts w:ascii="Calibri" w:cs="Calibri" w:eastAsia="Calibri" w:hAnsi="Calibri"/>
          <w:color w:val="222222"/>
          <w:sz w:val="20"/>
          <w:szCs w:val="20"/>
        </w:rPr>
        <w:t xml:space="preserve">Developed and documented standardized operating procedures (SOPs), service standards, and workflow documentation to improve consistency, accountability, and operational efficiency.</w:t>
      </w:r>
    </w:p>
    <w:p>
      <w:pPr>
        <w:pStyle w:val="ListParagraph"/>
        <w:numPr>
          <w:ilvl w:val="0"/>
          <w:numId w:val="2"/>
        </w:numPr>
        <w:spacing w:after="60"/>
      </w:pPr>
      <w:r>
        <w:rPr>
          <w:rFonts w:ascii="Calibri" w:cs="Calibri" w:eastAsia="Calibri" w:hAnsi="Calibri"/>
          <w:color w:val="222222"/>
          <w:sz w:val="20"/>
          <w:szCs w:val="20"/>
        </w:rPr>
        <w:t xml:space="preserve">Applied ITIL 4 service management principles to standardize incident triage, ticket prioritization, workflow documentation, and SLA-driven service delivery across the service desk.</w:t>
      </w:r>
    </w:p>
    <w:p>
      <w:pPr>
        <w:pStyle w:val="ListParagraph"/>
        <w:numPr>
          <w:ilvl w:val="0"/>
          <w:numId w:val="2"/>
        </w:numPr>
        <w:spacing w:after="60"/>
      </w:pPr>
      <w:r>
        <w:rPr>
          <w:rFonts w:ascii="Calibri" w:cs="Calibri" w:eastAsia="Calibri" w:hAnsi="Calibri"/>
          <w:color w:val="222222"/>
          <w:sz w:val="20"/>
          <w:szCs w:val="20"/>
        </w:rPr>
        <w:t xml:space="preserve">Created reporting dashboards and operational metrics that track SLA performance, ticket trends, and service delivery, providing leadership and clients with actionable insights.</w:t>
      </w:r>
    </w:p>
    <w:p>
      <w:pPr>
        <w:pStyle w:val="ListParagraph"/>
        <w:numPr>
          <w:ilvl w:val="0"/>
          <w:numId w:val="2"/>
        </w:numPr>
        <w:spacing w:after="60"/>
      </w:pPr>
      <w:r>
        <w:rPr>
          <w:rFonts w:ascii="Calibri" w:cs="Calibri" w:eastAsia="Calibri" w:hAnsi="Calibri"/>
          <w:color w:val="222222"/>
          <w:sz w:val="20"/>
          <w:szCs w:val="20"/>
        </w:rPr>
        <w:t xml:space="preserve">Partner with technical engineers and leadership to optimize resource allocation, improve queue performance, and support continuous process improvement initiatives.</w:t>
      </w:r>
    </w:p>
    <w:p>
      <w:pPr>
        <w:pStyle w:val="ListParagraph"/>
        <w:numPr>
          <w:ilvl w:val="0"/>
          <w:numId w:val="2"/>
        </w:numPr>
        <w:spacing w:after="60"/>
      </w:pPr>
      <w:r>
        <w:rPr>
          <w:rFonts w:ascii="Calibri" w:cs="Calibri" w:eastAsia="Calibri" w:hAnsi="Calibri"/>
          <w:color w:val="222222"/>
          <w:sz w:val="20"/>
          <w:szCs w:val="20"/>
        </w:rPr>
        <w:t xml:space="preserve">Maintain high-quality documentation within ConnectWise Manage, ensuring accurate ticket histories, standardized communication, and consistent operational records.</w:t>
      </w:r>
    </w:p>
    <w:p>
      <w:pPr>
        <w:pStyle w:val="ListParagraph"/>
        <w:numPr>
          <w:ilvl w:val="0"/>
          <w:numId w:val="2"/>
        </w:numPr>
        <w:spacing w:after="60"/>
      </w:pPr>
      <w:r>
        <w:rPr>
          <w:rFonts w:ascii="Calibri" w:cs="Calibri" w:eastAsia="Calibri" w:hAnsi="Calibri"/>
          <w:color w:val="222222"/>
          <w:sz w:val="20"/>
          <w:szCs w:val="20"/>
        </w:rPr>
        <w:t xml:space="preserve">Serve as the operational liaison between clients, leadership, and technical teams, facilitating clear communication, expectation management, and timely issue resolution.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7440"/>
        <w:gridCol w:w="3000"/>
      </w:tblGrid>
      <w:tr>
        <w:tc>
          <w:tcPr>
            <w:tcW w:type="dxa" w:w="7440"/>
            <w:tcBorders>
              <w:top w:val="none" w:color="FFFFFF" w:sz="0"/>
              <w:left w:val="none" w:color="FFFFFF" w:sz="0"/>
              <w:bottom w:val="none" w:color="FFFFFF" w:sz="0"/>
              <w:right w:val="none" w:color="FFFFFF" w:sz="0"/>
            </w:tcBorders>
            <w:tcMar>
              <w:top w:type="dxa" w:w="40"/>
              <w:left w:type="dxa" w:w="0"/>
              <w:bottom w:type="dxa" w:w="20"/>
              <w:right w:type="dxa" w:w="0"/>
            </w:tcMar>
            <w:vAlign w:val="bottom"/>
          </w:tcPr>
          <w:p>
            <w:r>
              <w:rPr>
                <w:rFonts w:ascii="Calibri" w:cs="Calibri" w:eastAsia="Calibri" w:hAnsi="Calibri"/>
                <w:b/>
                <w:bCs/>
                <w:color w:val="222222"/>
                <w:sz w:val="21"/>
                <w:szCs w:val="21"/>
              </w:rPr>
              <w:t xml:space="preserve">Professional Home Inspector/Owner, Healthy Home Inspection Service │ Denver, CO</w:t>
            </w:r>
          </w:p>
        </w:tc>
        <w:tc>
          <w:tcPr>
            <w:tcW w:type="dxa" w:w="3000"/>
            <w:tcBorders>
              <w:top w:val="none" w:color="FFFFFF" w:sz="0"/>
              <w:left w:val="none" w:color="FFFFFF" w:sz="0"/>
              <w:bottom w:val="none" w:color="FFFFFF" w:sz="0"/>
              <w:right w:val="none" w:color="FFFFFF" w:sz="0"/>
            </w:tcBorders>
            <w:tcMar>
              <w:top w:type="dxa" w:w="40"/>
              <w:left w:type="dxa" w:w="0"/>
              <w:bottom w:type="dxa" w:w="20"/>
              <w:right w:type="dxa" w:w="0"/>
            </w:tcMar>
            <w:vAlign w:val="bottom"/>
          </w:tcPr>
          <w:p>
            <w:pPr>
              <w:jc w:val="right"/>
            </w:pPr>
            <w:r>
              <w:rPr>
                <w:rFonts w:ascii="Calibri" w:cs="Calibri" w:eastAsia="Calibri" w:hAnsi="Calibri"/>
                <w:i/>
                <w:iCs/>
                <w:color w:val="555555"/>
                <w:sz w:val="19"/>
                <w:szCs w:val="19"/>
              </w:rPr>
              <w:t xml:space="preserve">May 2017 – September 2025</w:t>
            </w:r>
          </w:p>
        </w:tc>
      </w:tr>
    </w:tbl>
    <w:p>
      <w:pPr>
        <w:pStyle w:val="ListParagraph"/>
        <w:numPr>
          <w:ilvl w:val="0"/>
          <w:numId w:val="2"/>
        </w:numPr>
        <w:spacing w:after="60"/>
      </w:pPr>
      <w:r>
        <w:rPr>
          <w:rFonts w:ascii="Calibri" w:cs="Calibri" w:eastAsia="Calibri" w:hAnsi="Calibri"/>
          <w:color w:val="222222"/>
          <w:sz w:val="20"/>
          <w:szCs w:val="20"/>
        </w:rPr>
        <w:t xml:space="preserve">Founded and operated an independent inspection business, managing client engagements, scheduling, business operations, and regulatory compliance.</w:t>
      </w:r>
    </w:p>
    <w:p>
      <w:pPr>
        <w:pStyle w:val="ListParagraph"/>
        <w:numPr>
          <w:ilvl w:val="0"/>
          <w:numId w:val="2"/>
        </w:numPr>
        <w:spacing w:after="60"/>
      </w:pPr>
      <w:r>
        <w:rPr>
          <w:rFonts w:ascii="Calibri" w:cs="Calibri" w:eastAsia="Calibri" w:hAnsi="Calibri"/>
          <w:color w:val="222222"/>
          <w:sz w:val="20"/>
          <w:szCs w:val="20"/>
        </w:rPr>
        <w:t xml:space="preserve">Conducted comprehensive risk assessments, evaluating structural, mechanical, electrical, and safety systems while identifying potential hazards and documenting findings.</w:t>
      </w:r>
    </w:p>
    <w:p>
      <w:pPr>
        <w:pStyle w:val="ListParagraph"/>
        <w:numPr>
          <w:ilvl w:val="0"/>
          <w:numId w:val="2"/>
        </w:numPr>
        <w:spacing w:after="60"/>
      </w:pPr>
      <w:r>
        <w:rPr>
          <w:rFonts w:ascii="Calibri" w:cs="Calibri" w:eastAsia="Calibri" w:hAnsi="Calibri"/>
          <w:color w:val="222222"/>
          <w:sz w:val="20"/>
          <w:szCs w:val="20"/>
        </w:rPr>
        <w:t xml:space="preserve">Produced detailed technical reports with supporting evidence, photographs, and prioritized recommendations, enabling clients to make informed, risk-based decisions.</w:t>
      </w:r>
    </w:p>
    <w:p>
      <w:pPr>
        <w:pStyle w:val="ListParagraph"/>
        <w:numPr>
          <w:ilvl w:val="0"/>
          <w:numId w:val="2"/>
        </w:numPr>
        <w:spacing w:after="60"/>
      </w:pPr>
      <w:r>
        <w:rPr>
          <w:rFonts w:ascii="Calibri" w:cs="Calibri" w:eastAsia="Calibri" w:hAnsi="Calibri"/>
          <w:color w:val="222222"/>
          <w:sz w:val="20"/>
          <w:szCs w:val="20"/>
        </w:rPr>
        <w:t xml:space="preserve">Interpreted and applied building codes, industry standards, and inspection best practices to ensure consistent, accurate, and defensible evaluations.</w:t>
      </w:r>
    </w:p>
    <w:p>
      <w:pPr>
        <w:pStyle w:val="ListParagraph"/>
        <w:numPr>
          <w:ilvl w:val="0"/>
          <w:numId w:val="2"/>
        </w:numPr>
        <w:spacing w:after="60"/>
      </w:pPr>
      <w:r>
        <w:rPr>
          <w:rFonts w:ascii="Calibri" w:cs="Calibri" w:eastAsia="Calibri" w:hAnsi="Calibri"/>
          <w:color w:val="222222"/>
          <w:sz w:val="20"/>
          <w:szCs w:val="20"/>
        </w:rPr>
        <w:t xml:space="preserve">Translated complex technical findings into clear, actionable language for clients with varying levels of technical knowledge.</w:t>
      </w:r>
    </w:p>
    <w:p>
      <w:pPr>
        <w:pStyle w:val="ListParagraph"/>
        <w:numPr>
          <w:ilvl w:val="0"/>
          <w:numId w:val="2"/>
        </w:numPr>
        <w:spacing w:after="60"/>
      </w:pPr>
      <w:r>
        <w:rPr>
          <w:rFonts w:ascii="Calibri" w:cs="Calibri" w:eastAsia="Calibri" w:hAnsi="Calibri"/>
          <w:color w:val="222222"/>
          <w:sz w:val="20"/>
          <w:szCs w:val="20"/>
        </w:rPr>
        <w:t xml:space="preserve">Developed standardized inspection processes and documentation practices that improved report quality, consistency, and operational efficiency.</w:t>
      </w:r>
    </w:p>
    <w:p>
      <w:pPr>
        <w:pStyle w:val="ListParagraph"/>
        <w:numPr>
          <w:ilvl w:val="0"/>
          <w:numId w:val="2"/>
        </w:numPr>
        <w:spacing w:after="60"/>
      </w:pPr>
      <w:r>
        <w:rPr>
          <w:rFonts w:ascii="Calibri" w:cs="Calibri" w:eastAsia="Calibri" w:hAnsi="Calibri"/>
          <w:color w:val="222222"/>
          <w:sz w:val="20"/>
          <w:szCs w:val="20"/>
        </w:rPr>
        <w:t xml:space="preserve">Managed all aspects of a small business, including client communications, scheduling, documentation, financial operations, and continuous process improvement.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7440"/>
        <w:gridCol w:w="3000"/>
      </w:tblGrid>
      <w:tr>
        <w:tc>
          <w:tcPr>
            <w:tcW w:type="dxa" w:w="7440"/>
            <w:tcBorders>
              <w:top w:val="none" w:color="FFFFFF" w:sz="0"/>
              <w:left w:val="none" w:color="FFFFFF" w:sz="0"/>
              <w:bottom w:val="none" w:color="FFFFFF" w:sz="0"/>
              <w:right w:val="none" w:color="FFFFFF" w:sz="0"/>
            </w:tcBorders>
            <w:tcMar>
              <w:top w:type="dxa" w:w="40"/>
              <w:left w:type="dxa" w:w="0"/>
              <w:bottom w:type="dxa" w:w="20"/>
              <w:right w:type="dxa" w:w="0"/>
            </w:tcMar>
            <w:vAlign w:val="bottom"/>
          </w:tcPr>
          <w:p>
            <w:r>
              <w:rPr>
                <w:rFonts w:ascii="Calibri" w:cs="Calibri" w:eastAsia="Calibri" w:hAnsi="Calibri"/>
                <w:b/>
                <w:bCs/>
                <w:color w:val="222222"/>
                <w:sz w:val="21"/>
                <w:szCs w:val="21"/>
              </w:rPr>
              <w:t xml:space="preserve">Table Games Dealer/Supervisor, Ameristar │ Black Hawk, CO</w:t>
            </w:r>
          </w:p>
        </w:tc>
        <w:tc>
          <w:tcPr>
            <w:tcW w:type="dxa" w:w="3000"/>
            <w:tcBorders>
              <w:top w:val="none" w:color="FFFFFF" w:sz="0"/>
              <w:left w:val="none" w:color="FFFFFF" w:sz="0"/>
              <w:bottom w:val="none" w:color="FFFFFF" w:sz="0"/>
              <w:right w:val="none" w:color="FFFFFF" w:sz="0"/>
            </w:tcBorders>
            <w:tcMar>
              <w:top w:type="dxa" w:w="40"/>
              <w:left w:type="dxa" w:w="0"/>
              <w:bottom w:type="dxa" w:w="20"/>
              <w:right w:type="dxa" w:w="0"/>
            </w:tcMar>
            <w:vAlign w:val="bottom"/>
          </w:tcPr>
          <w:p>
            <w:pPr>
              <w:jc w:val="right"/>
            </w:pPr>
            <w:r>
              <w:rPr>
                <w:rFonts w:ascii="Calibri" w:cs="Calibri" w:eastAsia="Calibri" w:hAnsi="Calibri"/>
                <w:i/>
                <w:iCs/>
                <w:color w:val="555555"/>
                <w:sz w:val="19"/>
                <w:szCs w:val="19"/>
              </w:rPr>
              <w:t xml:space="preserve">March 2005 – November 2018</w:t>
            </w:r>
          </w:p>
        </w:tc>
      </w:tr>
    </w:tbl>
    <w:p>
      <w:pPr>
        <w:pStyle w:val="ListParagraph"/>
        <w:numPr>
          <w:ilvl w:val="0"/>
          <w:numId w:val="2"/>
        </w:numPr>
        <w:spacing w:after="60"/>
      </w:pPr>
      <w:r>
        <w:rPr>
          <w:rFonts w:ascii="Calibri" w:cs="Calibri" w:eastAsia="Calibri" w:hAnsi="Calibri"/>
          <w:color w:val="222222"/>
          <w:sz w:val="20"/>
          <w:szCs w:val="20"/>
        </w:rPr>
        <w:t xml:space="preserve">Supervised gaming operations within a highly regulated environment, ensuring compliance with gaming regulations, internal controls, and established operating procedures.</w:t>
      </w:r>
    </w:p>
    <w:p>
      <w:pPr>
        <w:pStyle w:val="ListParagraph"/>
        <w:numPr>
          <w:ilvl w:val="0"/>
          <w:numId w:val="2"/>
        </w:numPr>
        <w:spacing w:after="60"/>
      </w:pPr>
      <w:r>
        <w:rPr>
          <w:rFonts w:ascii="Calibri" w:cs="Calibri" w:eastAsia="Calibri" w:hAnsi="Calibri"/>
          <w:color w:val="222222"/>
          <w:sz w:val="20"/>
          <w:szCs w:val="20"/>
        </w:rPr>
        <w:t xml:space="preserve">Investigated suspicious activity, procedural violations, and attempted theft, collaborating with surveillance and security teams to gather evidence, support investigations, and protect organizational assets.</w:t>
      </w:r>
    </w:p>
    <w:p>
      <w:pPr>
        <w:pStyle w:val="ListParagraph"/>
        <w:numPr>
          <w:ilvl w:val="0"/>
          <w:numId w:val="2"/>
        </w:numPr>
        <w:spacing w:after="60"/>
      </w:pPr>
      <w:r>
        <w:rPr>
          <w:rFonts w:ascii="Calibri" w:cs="Calibri" w:eastAsia="Calibri" w:hAnsi="Calibri"/>
          <w:color w:val="222222"/>
          <w:sz w:val="20"/>
          <w:szCs w:val="20"/>
        </w:rPr>
        <w:t xml:space="preserve">Exercised strong analytical judgment to detect behavioral anomalies, policy violations, and fraudulent activity while maintaining operational integrity and protecting organizational assets.</w:t>
      </w:r>
    </w:p>
    <w:p>
      <w:pPr>
        <w:pStyle w:val="ListParagraph"/>
        <w:numPr>
          <w:ilvl w:val="0"/>
          <w:numId w:val="2"/>
        </w:numPr>
        <w:spacing w:after="60"/>
      </w:pPr>
      <w:r>
        <w:rPr>
          <w:rFonts w:ascii="Calibri" w:cs="Calibri" w:eastAsia="Calibri" w:hAnsi="Calibri"/>
          <w:color w:val="222222"/>
          <w:sz w:val="20"/>
          <w:szCs w:val="20"/>
        </w:rPr>
        <w:t xml:space="preserve">Trained and mentored dealers and newly promoted supervisors on gaming procedures, regulatory requirements, internal controls, and customer service standards.</w:t>
      </w:r>
    </w:p>
    <w:p>
      <w:pPr>
        <w:pStyle w:val="ListParagraph"/>
        <w:numPr>
          <w:ilvl w:val="0"/>
          <w:numId w:val="2"/>
        </w:numPr>
        <w:spacing w:after="60"/>
      </w:pPr>
      <w:r>
        <w:rPr>
          <w:rFonts w:ascii="Calibri" w:cs="Calibri" w:eastAsia="Calibri" w:hAnsi="Calibri"/>
          <w:color w:val="222222"/>
          <w:sz w:val="20"/>
          <w:szCs w:val="20"/>
        </w:rPr>
        <w:t xml:space="preserve">Prepared and maintained accurate operational documentation while communicating investigative findings and procedural issues to management and surveillance teams.</w:t>
      </w:r>
    </w:p>
    <w:p>
      <w:pPr>
        <w:pStyle w:val="ListParagraph"/>
        <w:numPr>
          <w:ilvl w:val="0"/>
          <w:numId w:val="2"/>
        </w:numPr>
        <w:spacing w:after="60"/>
      </w:pPr>
      <w:r>
        <w:rPr>
          <w:rFonts w:ascii="Calibri" w:cs="Calibri" w:eastAsia="Calibri" w:hAnsi="Calibri"/>
          <w:color w:val="222222"/>
          <w:sz w:val="20"/>
          <w:szCs w:val="20"/>
        </w:rPr>
        <w:t xml:space="preserve">Balanced regulatory enforcement with customer service in a fast-paced environment, demonstrating sound decision-making, professionalism, and attention to detail under pressure.</w:t>
      </w:r>
    </w:p>
    <w:p>
      <w:pPr>
        <w:pBdr>
          <w:bottom w:val="single" w:color="1F3864" w:sz="6" w:space="2"/>
        </w:pBdr>
        <w:spacing w:after="100" w:before="240"/>
      </w:pPr>
      <w:r>
        <w:rPr>
          <w:rFonts w:ascii="Calibri" w:cs="Calibri" w:eastAsia="Calibri" w:hAnsi="Calibri"/>
          <w:b/>
          <w:bCs/>
          <w:caps/>
          <w:color w:val="1F3864"/>
          <w:sz w:val="22"/>
          <w:szCs w:val="22"/>
        </w:rPr>
        <w:t xml:space="preserve">Professional Membership</w:t>
      </w:r>
    </w:p>
    <w:p>
      <w:pPr>
        <w:pStyle w:val="ListParagraph"/>
        <w:numPr>
          <w:ilvl w:val="0"/>
          <w:numId w:val="2"/>
        </w:numPr>
        <w:spacing w:after="60"/>
      </w:pPr>
      <w:r>
        <w:rPr>
          <w:rFonts w:ascii="Calibri" w:cs="Calibri" w:eastAsia="Calibri" w:hAnsi="Calibri"/>
          <w:color w:val="222222"/>
          <w:sz w:val="20"/>
          <w:szCs w:val="20"/>
        </w:rPr>
        <w:t xml:space="preserve">Information Systems Audit and Control Association (ISACA)</w:t>
      </w:r>
    </w:p>
    <w:p>
      <w:pPr>
        <w:pStyle w:val="ListParagraph"/>
        <w:numPr>
          <w:ilvl w:val="0"/>
          <w:numId w:val="2"/>
        </w:numPr>
        <w:spacing w:after="60"/>
      </w:pPr>
      <w:r>
        <w:rPr>
          <w:rFonts w:ascii="Calibri" w:cs="Calibri" w:eastAsia="Calibri" w:hAnsi="Calibri"/>
          <w:color w:val="222222"/>
          <w:sz w:val="20"/>
          <w:szCs w:val="20"/>
        </w:rPr>
        <w:t xml:space="preserve">Information Systems Security Association (ISSA)</w:t>
      </w:r>
    </w:p>
    <w:p>
      <w:pPr>
        <w:pStyle w:val="ListParagraph"/>
        <w:numPr>
          <w:ilvl w:val="0"/>
          <w:numId w:val="2"/>
        </w:numPr>
        <w:spacing w:after="60"/>
      </w:pPr>
      <w:r>
        <w:rPr>
          <w:rFonts w:ascii="Calibri" w:cs="Calibri" w:eastAsia="Calibri" w:hAnsi="Calibri"/>
          <w:color w:val="222222"/>
          <w:sz w:val="20"/>
          <w:szCs w:val="20"/>
        </w:rPr>
        <w:t xml:space="preserve">The Cyber Range, A Hands-On, Community Driven, Security Operations Center</w:t>
      </w:r>
    </w:p>
    <w:sectPr>
      <w:pgSz w:w="12240" w:h="15840" w:orient="portrait"/>
      <w:pgMar w:top="720" w:right="810" w:bottom="720" w:left="81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q0tgdb_m2zprldhhzknm" Type="http://schemas.openxmlformats.org/officeDocument/2006/relationships/hyperlink" Target="https://www.linkedin.com/in/brentpetty/" TargetMode="External"/><Relationship Id="rIdp_ijcyqujv2daxioowrw3" Type="http://schemas.openxmlformats.org/officeDocument/2006/relationships/hyperlink" Target="https://github.com/hossnfeffa" TargetMode="External"/><Relationship Id="rIdvtntlxlxoooanvpxxr470" Type="http://schemas.openxmlformats.org/officeDocument/2006/relationships/hyperlink" Target="https://github.com/hossnfeffa/Generative-AI-Security-Governance" TargetMode="External"/><Relationship Id="rIdxrdo8rjeq4fsxfusk736l" Type="http://schemas.openxmlformats.org/officeDocument/2006/relationships/hyperlink" Target="https://github.com/hossnfeffa/Honeypot-Lifecycle" TargetMode="External"/><Relationship Id="rIdomls9ylfa53n7fa2zf-3r" Type="http://schemas.openxmlformats.org/officeDocument/2006/relationships/hyperlink" Target="https://github.com/hossnfeffa/Service-Desk-Assistant-AI-Agent" TargetMode="External"/><Relationship Id="rIdsak9ra9cxpbs_uus1ifg-" Type="http://schemas.openxmlformats.org/officeDocument/2006/relationships/hyperlink" Target="https://github.com/hossnfeffa/L2-Escalation-Monitor"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2026-09-01T19:30:11.660Z</dcterms:created>
  <dcterms:modified xsi:type="dcterms:W3CDTF">2026-09-01T19:30:11.660Z</dcterms:modified>
</cp:coreProperties>
</file>

<file path=docProps/custom.xml><?xml version="1.0" encoding="utf-8"?>
<Properties xmlns="http://schemas.openxmlformats.org/officeDocument/2006/custom-properties" xmlns:vt="http://schemas.openxmlformats.org/officeDocument/2006/docPropsVTypes"/>
</file>