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948.3070866141725" w:top="1440" w:left="850.3937007874016" w:right="850.2755905511822" w:header="720" w:footer="720"/>
          <w:pgNumType w:start="1"/>
        </w:sectPr>
      </w:pPr>
      <w:bookmarkStart w:colFirst="0" w:colLast="0" w:name="_hqpb5l8o79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Funil Closer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color w:val="38761d"/>
          <w:sz w:val="38"/>
          <w:szCs w:val="38"/>
        </w:rPr>
      </w:pPr>
      <w:r w:rsidDel="00000000" w:rsidR="00000000" w:rsidRPr="00000000">
        <w:rPr>
          <w:rFonts w:ascii="Verdana" w:cs="Verdana" w:eastAsia="Verdana" w:hAnsi="Verdana"/>
          <w:b w:val="1"/>
          <w:color w:val="38761d"/>
          <w:sz w:val="38"/>
          <w:szCs w:val="38"/>
          <w:rtl w:val="0"/>
        </w:rPr>
        <w:t xml:space="preserve">Playbook Comercial Vitao Alimentos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1"/>
          <w:color w:val="38761d"/>
          <w:sz w:val="38"/>
          <w:szCs w:val="38"/>
        </w:rPr>
      </w:pPr>
      <w:r w:rsidDel="00000000" w:rsidR="00000000" w:rsidRPr="00000000">
        <w:rPr>
          <w:rFonts w:ascii="Verdana" w:cs="Verdana" w:eastAsia="Verdana" w:hAnsi="Verdana"/>
          <w:b w:val="1"/>
          <w:color w:val="38761d"/>
          <w:sz w:val="38"/>
          <w:szCs w:val="38"/>
          <w:rtl w:val="0"/>
        </w:rPr>
        <w:t xml:space="preserve">Funil Closer</w:t>
      </w:r>
    </w:p>
    <w:p w:rsidR="00000000" w:rsidDel="00000000" w:rsidP="00000000" w:rsidRDefault="00000000" w:rsidRPr="00000000" w14:paraId="00000004">
      <w:pPr>
        <w:jc w:val="center"/>
        <w:rPr>
          <w:rFonts w:ascii="Verdana" w:cs="Verdana" w:eastAsia="Verdana" w:hAnsi="Verdan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auizmacr10od" w:id="1"/>
      <w:bookmarkEnd w:id="1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Legenda para Materiais complementares ao Processo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Durante o passo a passo do playbook, temos “links” para materiais complementares a execução do processo dentro do software (Spotter), esses estarão sinalizados com os respectivos nomes e sinalizados na cor verde (Conforme legenda abaixo).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Esses materiais são:</w:t>
      </w:r>
    </w:p>
    <w:p w:rsidR="00000000" w:rsidDel="00000000" w:rsidP="00000000" w:rsidRDefault="00000000" w:rsidRPr="00000000" w14:paraId="0000000A">
      <w:pPr>
        <w:rPr>
          <w:b w:val="1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6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Agenda e Rotina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7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Check-up 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8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Técnicas e Gatilhos Mentais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9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Abordagem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10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Objetivo dos Filtros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shd w:fill="b6d7a8" w:val="clear"/>
        </w:rPr>
      </w:pPr>
      <w:hyperlink r:id="rId11">
        <w:r w:rsidDel="00000000" w:rsidR="00000000" w:rsidRPr="00000000">
          <w:rPr>
            <w:b w:val="1"/>
            <w:u w:val="single"/>
            <w:shd w:fill="b6d7a8" w:val="clear"/>
            <w:rtl w:val="0"/>
          </w:rPr>
          <w:t xml:space="preserve">Objeções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oj99e5833rs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15tvmyxoi4qy" w:id="3"/>
      <w:bookmarkEnd w:id="3"/>
      <w:r w:rsidDel="00000000" w:rsidR="00000000" w:rsidRPr="00000000">
        <w:rPr>
          <w:rFonts w:ascii="Verdana" w:cs="Verdana" w:eastAsia="Verdana" w:hAnsi="Verdana"/>
          <w:sz w:val="30"/>
          <w:szCs w:val="3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-28799</wp:posOffset>
                </wp:positionH>
                <wp:positionV relativeFrom="page">
                  <wp:posOffset>7200</wp:posOffset>
                </wp:positionV>
                <wp:extent cx="7855200" cy="4428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7855200" cy="442800"/>
                          <a:chOff x="152400" y="152400"/>
                          <a:chExt cx="7315200" cy="3267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199" cy="326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-28799</wp:posOffset>
                </wp:positionH>
                <wp:positionV relativeFrom="page">
                  <wp:posOffset>7200</wp:posOffset>
                </wp:positionV>
                <wp:extent cx="7855200" cy="442800"/>
                <wp:effectExtent b="0" l="0" r="0" t="0"/>
                <wp:wrapTopAndBottom distB="0" distT="0"/>
                <wp:docPr id="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5200" cy="44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Cadastro de lead / cliente de forma manual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cadastrar um lead ou um cliente de forma manual e iniciar os trabalhos com ele, o primeiro passo é clicar no símbolo de + presente na parte superior do sistema. Em seguida, clique em “Lead/oportunidade”.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.73228346456688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391275" cy="1308409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08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Feito isso, preencha as informações solicitadas: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268588" cy="472757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17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588" cy="472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Nessa etapa, não esqueça de selecionar qual funil será trabalhado (atualmente iremos começar apenas com o funil “Closer”.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“Nome do lead/Oportunidade” precisa ser preenchido dentro do padrão conforme exemplo: </w:t>
        <w:br w:type="textWrapping"/>
        <w:t xml:space="preserve">36.612.675 IVANI MARIA NIENOV SEBASTIANY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711500" cy="2881263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500" cy="28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Preencha as informações referentes ao endereço do lead/cliente.</w:t>
      </w:r>
    </w:p>
    <w:p w:rsidR="00000000" w:rsidDel="00000000" w:rsidP="00000000" w:rsidRDefault="00000000" w:rsidRPr="00000000" w14:paraId="00000022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249538" cy="3944129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538" cy="394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Nem todas as informações são obrigatórias, caso seja uma prospecção de novo cliente e você não saiba a resposta, você pode editar essas informações depois.</w:t>
      </w:r>
    </w:p>
    <w:p w:rsidR="00000000" w:rsidDel="00000000" w:rsidP="00000000" w:rsidRDefault="00000000" w:rsidRPr="00000000" w14:paraId="0000002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21000" cy="3467301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000" cy="346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197605" cy="4399237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2251"/>
                    <a:stretch>
                      <a:fillRect/>
                    </a:stretch>
                  </pic:blipFill>
                  <pic:spPr>
                    <a:xfrm>
                      <a:off x="0" y="0"/>
                      <a:ext cx="4197605" cy="439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O item “Ativado Vitao” precisa estar com a resposta “Não” no caso de prospecção de novos clientes. No caso de recompra, você deve alterar para “Sim”.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Fique atento ao item “Indicador de Alerta”, esse campo é obrigatório e deve ser preenchido com criticidades e problemas que o cliente tenha tido no último pedido. Caso não tenha, preencha com a informação “Nenhum”.</w:t>
        <w:br w:type="textWrapping"/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finalizar o cadastro do lead/cliente, ele irá aparecer no funil “Closer” na etapa “Base SAP”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038350" cy="268005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330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8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aiu5lmcjbz4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x92o6qykpfu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qi1eh4nexmwt" w:id="6"/>
      <w:bookmarkEnd w:id="6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Início de Contato - Filtro 1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cadastrar o lead/cliente, o próximo passo é fazer a aplicação do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Filtro 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para iniciar o enriquecimento dos mesmos.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Entenda </w:t>
      </w:r>
      <w:hyperlink r:id="rId21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 a importância dos filtros para a operação.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isso, clique no símbolo de “play” presente no card: 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125462" cy="1580187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462" cy="158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Em seguida, responda as perguntas listadas no filtro, conforme as imagens abaixo: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526462" cy="3541566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6462" cy="3541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02637" cy="341787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2637" cy="341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3505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Não se esqueça de ler as dicas para responder as perguntas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Lembre-se de responder de forma verdadeira e correta pois, dependendo das respostas, o lead/cliente pode ou não ir para a etapa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preencher as perguntas do filtro, serão criadas algumas atividades para esse lead/cliente.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iuivkffcwiiv" w:id="7"/>
      <w:bookmarkEnd w:id="7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Fluxo de Atividades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219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Analise o campo “Próximas ações” para iniciar a tentativa de contato com cliente no canal de comunicação informado (Whatsapp, telefone, etc). Copiar a sugestão e personalizar conforme orientação.  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320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fazer as ações, clique em “concluir atividade”.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concluir a atividade, a janela a seguir será aberta. Aqui você não precisa fazer nada, bastando fechar a janela no “X” ou clicando em “Cancelar”, conforme figura abaixo. A atividade executada será concluída e registrada no histórico do lead. 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200650" cy="59245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a conclusão da atividade, uma nova será atribuída ao lead - chamamos isso de Workflow, onde atividades serão atribuídas de forma sequencial até que você conclua o objetivo.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Aguarde o dia e hora informados para executar a atividade pendente. O Spotter lhe lembrará de executar esta atividade.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3843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Independente do cliente responder ou não, é obrigatório concluir a atividade</w:t>
      </w:r>
    </w:p>
    <w:p w:rsidR="00000000" w:rsidDel="00000000" w:rsidP="00000000" w:rsidRDefault="00000000" w:rsidRPr="00000000" w14:paraId="0000005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Caso o cliente te dê um retorno negativo, consulte o material de contorno de objeções clicando </w:t>
      </w:r>
      <w:hyperlink r:id="rId30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Caso você atinja o objetivo do Workflow em questão, você deverá: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Concluir a atividade que gerou a conclusão do objetivo;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Cancelar o workflow atual para que um novo possa ser associado, de acordo com o novo objetivo. 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Siga o passo a passo a seguir: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Clique no ícone “Lixeira”:</w:t>
      </w:r>
    </w:p>
    <w:p w:rsidR="00000000" w:rsidDel="00000000" w:rsidP="00000000" w:rsidRDefault="00000000" w:rsidRPr="00000000" w14:paraId="0000006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3843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Clique em “EXCLUIR”:</w:t>
      </w:r>
    </w:p>
    <w:p w:rsidR="00000000" w:rsidDel="00000000" w:rsidP="00000000" w:rsidRDefault="00000000" w:rsidRPr="00000000" w14:paraId="0000006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000750" cy="15240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Clique em “CANCELAR WORKFLOW”:</w:t>
      </w:r>
    </w:p>
    <w:p w:rsidR="00000000" w:rsidDel="00000000" w:rsidP="00000000" w:rsidRDefault="00000000" w:rsidRPr="00000000" w14:paraId="00000067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6604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724150" cy="5429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Note que o fluxo vai parar e ficará registrado o número de tentativas, com o registro de todas as suas ações.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b w:val="1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Todas as ligações ficam gravadas, tanto os áudios como o histórico das ações, para que os gestores consigam acompanhar, coletar dados para tomar decisões estratégicas no futuro.</w:t>
      </w:r>
    </w:p>
    <w:p w:rsidR="00000000" w:rsidDel="00000000" w:rsidP="00000000" w:rsidRDefault="00000000" w:rsidRPr="00000000" w14:paraId="0000007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b w:val="1"/>
          <w:shd w:fill="f4cc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4cccc" w:val="clear"/>
          <w:rtl w:val="0"/>
        </w:rPr>
        <w:t xml:space="preserve">Tudo que for conversado com o lead/cliente por fora do Spotter, deve ser registrado no sistema copiando o histórico das conversas e colando aqui: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1422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rPr/>
      </w:pPr>
      <w:bookmarkStart w:colFirst="0" w:colLast="0" w:name="_yg2xe15rkuxv" w:id="8"/>
      <w:bookmarkEnd w:id="8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Em atendimento - Filtro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 atividades e fluxos, tem por objetivo fazer o cliente responder, e assim, iniciar a sequência de atendimentos. 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Quando você conseguir contato com esse lead/cliente, clique no play para abrir as perguntas que devem ser feitas para ele.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</w:rPr>
        <w:drawing>
          <wp:inline distB="114300" distT="114300" distL="114300" distR="114300">
            <wp:extent cx="2257425" cy="1628775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</w:rPr>
        <w:drawing>
          <wp:inline distB="114300" distT="114300" distL="114300" distR="114300">
            <wp:extent cx="6480075" cy="3022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Além disso, utilize o material de Check-up Call para saber as técnicas que precisam ser utilizadas na sua ligação, você pode abrir o material clicando </w:t>
      </w:r>
      <w:hyperlink r:id="rId38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b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b w:val="1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Saiba mais sobre as técnicas sinalizadas no Check-up Call e veja exemplos de como utilizá-las clicando </w:t>
      </w:r>
      <w:hyperlink r:id="rId39">
        <w:r w:rsidDel="00000000" w:rsidR="00000000" w:rsidRPr="00000000">
          <w:rPr>
            <w:rFonts w:ascii="Verdana" w:cs="Verdana" w:eastAsia="Verdana" w:hAnsi="Verdana"/>
            <w:b w:val="1"/>
            <w:color w:val="1155cc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832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  <w:rtl w:val="0"/>
        </w:rPr>
        <w:t xml:space="preserve">Veja como fazer a abordagem durante a ligação </w:t>
      </w:r>
      <w:hyperlink r:id="rId41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3"/>
            <w:szCs w:val="23"/>
            <w:u w:val="single"/>
            <w:shd w:fill="d9ead3" w:val="clear"/>
            <w:rtl w:val="0"/>
          </w:rPr>
          <w:t xml:space="preserve">aqui</w:t>
        </w:r>
      </w:hyperlink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b w:val="1"/>
          <w:color w:val="1d1c1d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  <w:rtl w:val="0"/>
        </w:rPr>
        <w:t xml:space="preserve">Caso você não consiga contato com o comprador, seguir o seguinte passo a passo: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6480075" cy="44323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3"/>
          <w:szCs w:val="23"/>
          <w:highlight w:val="white"/>
          <w:rtl w:val="0"/>
        </w:rPr>
        <w:t xml:space="preserve">Caso você não tenha conseguido contato com o comprador, não avalie o filtro, clique em “Continuar Depois”.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color w:val="1d1c1d"/>
          <w:sz w:val="23"/>
          <w:szCs w:val="23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b w:val="1"/>
          <w:color w:val="1d1c1d"/>
          <w:sz w:val="23"/>
          <w:szCs w:val="23"/>
          <w:shd w:fill="f4cccc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f4cccc" w:val="clear"/>
          <w:rtl w:val="0"/>
        </w:rPr>
        <w:t xml:space="preserve">Esse ciclo deve se repetir até que você consiga o contato com o comprador ou com o responsável.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b w:val="1"/>
          <w:i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1d1c1d"/>
          <w:sz w:val="23"/>
          <w:szCs w:val="23"/>
          <w:shd w:fill="fff2cc" w:val="clear"/>
          <w:rtl w:val="0"/>
        </w:rPr>
        <w:t xml:space="preserve">Quando conseguiu o contato com o comprador, você deve responder às seguintes perguntas:</w:t>
      </w:r>
    </w:p>
    <w:p w:rsidR="00000000" w:rsidDel="00000000" w:rsidP="00000000" w:rsidRDefault="00000000" w:rsidRPr="00000000" w14:paraId="00000096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640763" cy="4648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763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finalizar o preenchimento do filtro, clique em “Avaliar”.</w:t>
      </w:r>
    </w:p>
    <w:p w:rsidR="00000000" w:rsidDel="00000000" w:rsidP="00000000" w:rsidRDefault="00000000" w:rsidRPr="00000000" w14:paraId="0000009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Feito isso, o lead/cliente ficará na etapa “Em atendimento” até que seja feito o pedido.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382447" cy="118586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447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rPr>
          <w:rFonts w:ascii="Verdana" w:cs="Verdana" w:eastAsia="Verdana" w:hAnsi="Verdana"/>
        </w:rPr>
      </w:pPr>
      <w:bookmarkStart w:colFirst="0" w:colLast="0" w:name="_z3c7miwardpx" w:id="9"/>
      <w:bookmarkEnd w:id="9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Pedido -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partir do momento que o pedido for realizado, você deve marcar essa oportunidade como vendida. Para isso, clique nos 3 pontinhos e em seguida no símbolo de dinheiro.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407987" cy="1633613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987" cy="16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32073" cy="351133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073" cy="351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Feito isso, selecione o vendedor responsável, confira a data da venda, selecione a opção “Creditar pontuação para data de venda (data indicada acima)”, clique no botão “adicionar produto”, coloque o valor do pedido e clique em “Vender”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94213" cy="2611309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213" cy="2611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616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marcar como vendido, ele irá se sair da etapa “Em atendimento” e ir para a etapa “Pedido”.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9906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2krff7uzpy0b" w:id="10"/>
      <w:bookmarkEnd w:id="10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Cadastro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Ao realizar a venda, você deve segurar o card do cliente e arrastar para a etapa seguinte “Cadastro”, ou clicar nas setas para mover para a próxima etapa.</w:t>
      </w:r>
    </w:p>
    <w:p w:rsidR="00000000" w:rsidDel="00000000" w:rsidP="00000000" w:rsidRDefault="00000000" w:rsidRPr="00000000" w14:paraId="000000B0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341562" cy="216493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562" cy="216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cliente deve permanecer nessa etapa até que o cadastro seja concluído.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rPr>
          <w:rFonts w:ascii="Verdana" w:cs="Verdana" w:eastAsia="Verdana" w:hAnsi="Verdana"/>
        </w:rPr>
      </w:pPr>
      <w:bookmarkStart w:colFirst="0" w:colLast="0" w:name="_gpvh01asfo8w" w:id="11"/>
      <w:bookmarkEnd w:id="11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Faturamento - Expedição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passar para a etapa de faturamento, você deverá clicar no símbolo do play e precisa responder a seguinte pergunta: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153150" cy="176212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1717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Em seguida, basta clicar em “Avaliar”. Após avaliar o card será movido de forma automática para a etapa de Faturamento - Expedição, e deve ficar nessa etapa até que seja concluído o faturamento.</w:t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>
          <w:rFonts w:ascii="Verdana" w:cs="Verdana" w:eastAsia="Verdana" w:hAnsi="Verdana"/>
          <w:sz w:val="30"/>
          <w:szCs w:val="30"/>
        </w:rPr>
      </w:pPr>
      <w:bookmarkStart w:colFirst="0" w:colLast="0" w:name="_kycclm5apyyi" w:id="12"/>
      <w:bookmarkEnd w:id="12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Entrega e Pós-Vendas</w:t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o faturamento ser concluído, o card deve ser movido para a etapa de “Entrega e Pós-Vendas”. Para isso, clique nas setas ou segure o card e arraste para a próxima etapa:</w:t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522988" cy="1981983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988" cy="198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cliente deve ficar nessa etapa até que a entrega seja concluída. Quando ela for concluída, ele deve ser movido para a etapa de CS</w:t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rPr>
          <w:rFonts w:ascii="Verdana" w:cs="Verdana" w:eastAsia="Verdana" w:hAnsi="Verdana"/>
        </w:rPr>
      </w:pPr>
      <w:bookmarkStart w:colFirst="0" w:colLast="0" w:name="_boonbq50eor9" w:id="13"/>
      <w:bookmarkEnd w:id="13"/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a entrega ser realizada, você deve preencher o filtro para poder avançar o cliente da etapa “Entrega e Pós-Vendas” para a etapa “CS”.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971800" cy="143827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Após aplicar o filtro, responda a seguinte pergunta e clique em “Avaliar”: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480075" cy="2222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u w:val="single"/>
          <w:shd w:fill="b6d7a8" w:val="clear"/>
        </w:rPr>
      </w:pPr>
      <w:r w:rsidDel="00000000" w:rsidR="00000000" w:rsidRPr="00000000">
        <w:rPr>
          <w:rtl w:val="0"/>
        </w:rPr>
      </w:r>
    </w:p>
    <w:sectPr>
      <w:headerReference r:id="rId56" w:type="default"/>
      <w:headerReference r:id="rId57" w:type="first"/>
      <w:footerReference r:id="rId58" w:type="default"/>
      <w:type w:val="nextPage"/>
      <w:pgSz w:h="16834" w:w="11909" w:orient="portrait"/>
      <w:pgMar w:bottom="948.3070866141725" w:top="1440" w:left="850.3937007874016" w:right="850.2755905511822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13.png"/><Relationship Id="rId41" Type="http://schemas.openxmlformats.org/officeDocument/2006/relationships/hyperlink" Target="https://docs.google.com/document/u/0/d/1RCc3STYPySZyGSIfAfp9ugb-hnHxG0p6IvvvqRjVrJ8/edit" TargetMode="External"/><Relationship Id="rId44" Type="http://schemas.openxmlformats.org/officeDocument/2006/relationships/image" Target="media/image14.png"/><Relationship Id="rId43" Type="http://schemas.openxmlformats.org/officeDocument/2006/relationships/image" Target="media/image3.png"/><Relationship Id="rId46" Type="http://schemas.openxmlformats.org/officeDocument/2006/relationships/image" Target="media/image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Cc3STYPySZyGSIfAfp9ugb-hnHxG0p6IvvvqRjVrJ8/edit?tab=t.0" TargetMode="External"/><Relationship Id="rId48" Type="http://schemas.openxmlformats.org/officeDocument/2006/relationships/image" Target="media/image11.png"/><Relationship Id="rId47" Type="http://schemas.openxmlformats.org/officeDocument/2006/relationships/image" Target="media/image33.png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7FS2K2V07e3YuHGCrchPjE4ZC9rUQ66dtya8gnaTDs/edit?tab=t.0" TargetMode="External"/><Relationship Id="rId7" Type="http://schemas.openxmlformats.org/officeDocument/2006/relationships/hyperlink" Target="https://docs.google.com/document/d/1Oh2fBx4MmcjHly0NJmGi_bYevQDd1TOwdStPqHEma0A/edit?tab=t.0#heading=h.7kic17m4zbug" TargetMode="External"/><Relationship Id="rId8" Type="http://schemas.openxmlformats.org/officeDocument/2006/relationships/hyperlink" Target="https://docs.google.com/document/d/1ivAxF4iZhu6GCpQMr3xKEGEZr50UymRZ4a4LS3iAxm4/edit?tab=t.0" TargetMode="External"/><Relationship Id="rId31" Type="http://schemas.openxmlformats.org/officeDocument/2006/relationships/image" Target="media/image24.png"/><Relationship Id="rId30" Type="http://schemas.openxmlformats.org/officeDocument/2006/relationships/hyperlink" Target="https://docs.google.com/document/u/0/d/1wCJI85OKaVbY__HGwmrTBRGflEynVQ0HLVRmEi-02zU/edit" TargetMode="External"/><Relationship Id="rId33" Type="http://schemas.openxmlformats.org/officeDocument/2006/relationships/image" Target="media/image31.png"/><Relationship Id="rId32" Type="http://schemas.openxmlformats.org/officeDocument/2006/relationships/image" Target="media/image34.png"/><Relationship Id="rId35" Type="http://schemas.openxmlformats.org/officeDocument/2006/relationships/image" Target="media/image12.png"/><Relationship Id="rId34" Type="http://schemas.openxmlformats.org/officeDocument/2006/relationships/image" Target="media/image23.png"/><Relationship Id="rId37" Type="http://schemas.openxmlformats.org/officeDocument/2006/relationships/image" Target="media/image15.png"/><Relationship Id="rId36" Type="http://schemas.openxmlformats.org/officeDocument/2006/relationships/image" Target="media/image35.png"/><Relationship Id="rId39" Type="http://schemas.openxmlformats.org/officeDocument/2006/relationships/hyperlink" Target="https://docs.google.com/document/u/0/d/1ivAxF4iZhu6GCpQMr3xKEGEZr50UymRZ4a4LS3iAxm4/edit" TargetMode="External"/><Relationship Id="rId38" Type="http://schemas.openxmlformats.org/officeDocument/2006/relationships/hyperlink" Target="https://docs.google.com/document/u/0/d/1Oh2fBx4MmcjHly0NJmGi_bYevQDd1TOwdStPqHEma0A/edit" TargetMode="External"/><Relationship Id="rId20" Type="http://schemas.openxmlformats.org/officeDocument/2006/relationships/image" Target="media/image27.png"/><Relationship Id="rId22" Type="http://schemas.openxmlformats.org/officeDocument/2006/relationships/image" Target="media/image28.png"/><Relationship Id="rId21" Type="http://schemas.openxmlformats.org/officeDocument/2006/relationships/hyperlink" Target="https://docs.google.com/document/d/1D1GBig1w3lXtPqLo3SinueJfK-nqOSIMPrmOQ57zdYQ/edit?usp=sharing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32.png"/><Relationship Id="rId26" Type="http://schemas.openxmlformats.org/officeDocument/2006/relationships/image" Target="media/image2.png"/><Relationship Id="rId25" Type="http://schemas.openxmlformats.org/officeDocument/2006/relationships/image" Target="media/image7.png"/><Relationship Id="rId28" Type="http://schemas.openxmlformats.org/officeDocument/2006/relationships/image" Target="media/image5.png"/><Relationship Id="rId27" Type="http://schemas.openxmlformats.org/officeDocument/2006/relationships/image" Target="media/image1.png"/><Relationship Id="rId29" Type="http://schemas.openxmlformats.org/officeDocument/2006/relationships/image" Target="media/image36.png"/><Relationship Id="rId51" Type="http://schemas.openxmlformats.org/officeDocument/2006/relationships/image" Target="media/image6.png"/><Relationship Id="rId50" Type="http://schemas.openxmlformats.org/officeDocument/2006/relationships/image" Target="media/image25.png"/><Relationship Id="rId53" Type="http://schemas.openxmlformats.org/officeDocument/2006/relationships/image" Target="media/image30.png"/><Relationship Id="rId52" Type="http://schemas.openxmlformats.org/officeDocument/2006/relationships/image" Target="media/image10.png"/><Relationship Id="rId11" Type="http://schemas.openxmlformats.org/officeDocument/2006/relationships/hyperlink" Target="https://docs.google.com/document/d/1wCJI85OKaVbY__HGwmrTBRGflEynVQ0HLVRmEi-02zU/edit?tab=t.0#heading=h.sl01eylbomrb" TargetMode="External"/><Relationship Id="rId55" Type="http://schemas.openxmlformats.org/officeDocument/2006/relationships/image" Target="media/image17.png"/><Relationship Id="rId10" Type="http://schemas.openxmlformats.org/officeDocument/2006/relationships/hyperlink" Target="https://docs.google.com/document/d/1D1GBig1w3lXtPqLo3SinueJfK-nqOSIMPrmOQ57zdYQ/edit?tab=t.0#heading=h.fv12h0wnskz" TargetMode="External"/><Relationship Id="rId54" Type="http://schemas.openxmlformats.org/officeDocument/2006/relationships/image" Target="media/image16.png"/><Relationship Id="rId13" Type="http://schemas.openxmlformats.org/officeDocument/2006/relationships/image" Target="media/image40.png"/><Relationship Id="rId57" Type="http://schemas.openxmlformats.org/officeDocument/2006/relationships/header" Target="header2.xml"/><Relationship Id="rId12" Type="http://schemas.openxmlformats.org/officeDocument/2006/relationships/image" Target="media/image41.png"/><Relationship Id="rId56" Type="http://schemas.openxmlformats.org/officeDocument/2006/relationships/header" Target="header1.xml"/><Relationship Id="rId15" Type="http://schemas.openxmlformats.org/officeDocument/2006/relationships/image" Target="media/image20.png"/><Relationship Id="rId14" Type="http://schemas.openxmlformats.org/officeDocument/2006/relationships/image" Target="media/image21.png"/><Relationship Id="rId58" Type="http://schemas.openxmlformats.org/officeDocument/2006/relationships/footer" Target="footer1.xml"/><Relationship Id="rId17" Type="http://schemas.openxmlformats.org/officeDocument/2006/relationships/image" Target="media/image26.png"/><Relationship Id="rId16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3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