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程序编译和安装使用文档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一、系统概览与文档说明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二、运行环境要求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三、安装步骤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创建虚拟环境并安装依赖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大模型环境变量配置（可选）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桌面版依赖（可选）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数据集与靶场证据准备（可选）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四、启动平台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方式一：一键启动（推荐）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 方式二：命令行启动（验收演示默认形态）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4.3 方式三：双端口双批次对比演示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4.4 方式四：断网演示模式（兜底）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4.5 桌面版启动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五、数据导入与标准操作流程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 方式 A：前端页面上传（推荐，免命令行）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 方式 B：命令行标准流程（六步 SOP）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5.3 数据集 profile 速查表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六、前端功能使用说明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七、测试与自检命令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八、常见问题与排障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九、打包提交说明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一、系统概览与文档说明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恶意攻击行为溯源分析系统由 Python 后端（FastAPI + SQLite）、解析器（主机日志 / 网络流量）、前端单页应用与 Electron 桌面版组成。系统为解释型语言实现，无需编译构建：安装 Python 依赖后即可启动；前端为纯静态页面由后端同源托管；Electron 桌面版仅需 npm install 安装依赖。本文档给出完整的环境要求、安装步骤、启动方式、数据导入全流程、页面使用说明与常见问题排障，所有命令均在源代码根目录执行（Windows Git Bash / PowerShell 通用，路径分隔符按需调整）。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项目目录结构（源代码包）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backend/            FastAPI 后端 + 主机日志解析(b_host_parser) + 网络解析(parsers/network)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│                      + 关联分析(analysis) + LLM 多智能体(llm_analysis.py)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frontend/           五页面单页应用（含 mock 演示数据、ECharts 本地库）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scripts/            全部流程工具（解析/导入/导出/演示/数据集下载）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data/               主机映射 CSV、样例日志、样例 PCAP、威胁情报 JSON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docs/               契约文档、平台使用手册、各模块说明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tests/              pytest 测试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├── 启动平台.bat / 启动桌面版.bat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└── requirements.txt</w:t>
      </w:r>
    </w:p>
    <w:p>
      <w:pPr>
        <w:pStyle w:val="Heading1"/>
        <w:spacing w:after="200" w:before="400" w:line="38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二、运行环境要求</w:t>
      </w:r>
      <w:bookmarkEnd w:id="100001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34　环境要求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10/11（推荐）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Linux/macOS 亦可运行后端与解析器，演示物料以 Windows 为准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Python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3.10 及以上（实测 3.10.11 全量测试通过；建议 3.12）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后端、解析器、脚本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磁盘空间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≥ 2GB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含数据集与靶场证据（约 1GB，可选）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内存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≥ 8GB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靶场验证与大数据集解析建议 16GB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Node.js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≥ 18（仅桌面版需要）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Electron 封装；Web 版无需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浏览器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Chrome / Edge 现代版本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前端运行环境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 API（可选）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OpenAI 兼容接口密钥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未配置时自动降级为规则报告，不影响其他功能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02" w:name="_Toc100002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三、安装步骤</w:t>
      </w:r>
      <w:bookmarkEnd w:id="100002"/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创建虚拟环境并安装依赖</w:t>
      </w:r>
      <w:bookmarkEnd w:id="100003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1. 创建并激活虚拟环境（PowerShell）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-m venv .venv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.\.venv\Scripts\python.exe -m pip install -r requirements.txt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2. B 模块额外依赖（EVTX 解析）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.\.venv\Scripts\python.exe -m pip install -r backend/b_host_parser/requirements.txt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Git Bash 写法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-m venv .venv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.venv/Scripts/python -m pip install -r requirements.txt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.venv/Scripts/python -m pip install -r backend/b_host_parser/requirements.txt</w:t>
      </w:r>
    </w:p>
    <w:p>
      <w:pPr>
        <w:pStyle w:val="Heading2"/>
        <w:spacing w:after="140" w:before="300" w:line="360" w:lineRule="atLeast"/>
      </w:pPr>
      <w:bookmarkStart w:id="100004" w:name="_Toc10000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大模型环境变量配置（可选）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复制 .env.example 为 .env 并填写：LLM_BASE_URL（默认 DeepSeek：https://api.deepseek.com/v1，兼容千问/GLM/Kimi 等 OpenAI 兼容厂商）、LLM_API_KEY、LLM_MODEL（默认 deepseek-chat）。不配置时“开始分析”自动降级为规则模板报告，其余功能不受影响。</w:t>
      </w:r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3.3 桌面版依赖（可选）</w:t>
      </w:r>
      <w:bookmarkEnd w:id="100005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cd electron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npm install</w:t>
      </w:r>
    </w:p>
    <w:p>
      <w:pPr>
        <w:pStyle w:val="Heading2"/>
        <w:spacing w:after="140" w:before="300" w:line="360" w:lineRule="atLeast"/>
      </w:pPr>
      <w:bookmarkStart w:id="100006" w:name="_Toc10000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3.4 数据集与靶场证据准备（可选）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公开数据集原始包不随源代码分发，需要时用脚本重新获取：python scripts/fetch_dataset.py --apt29（APT29 Day1）或 --ctu CTU-Malware-Capture-Botnet-43（CTU-13 场景 2）。靶场证据位于 E-work/raw/（随源码包或单独提供），样例 PCAP/EVTX 已随仓库 data/ 目录提供。</w:t>
      </w:r>
    </w:p>
    <w:p>
      <w:pPr>
        <w:pStyle w:val="Heading1"/>
        <w:spacing w:after="200" w:before="400" w:line="380" w:lineRule="atLeast"/>
        <w:jc w:val="center"/>
      </w:pPr>
      <w:bookmarkStart w:id="100007" w:name="_Toc10000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四、启动平台</w:t>
      </w:r>
      <w:bookmarkEnd w:id="100007"/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4.1 方式一：一键启动（推荐）</w:t>
      </w:r>
      <w:bookmarkEnd w:id="100008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双击 启动平台.bat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调用 scripts/start_platform.py：自动清理 8000 端口残留进程、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依赖检查、启动后端、健康检查通过后自动打开浏览器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参数：--port 8001 换端口；--no-open 不自动开浏览器</w:t>
      </w:r>
    </w:p>
    <w:p>
      <w:pPr>
        <w:pStyle w:val="Heading2"/>
        <w:spacing w:after="140" w:before="300" w:line="360" w:lineRule="atLeast"/>
      </w:pPr>
      <w:bookmarkStart w:id="100009" w:name="_Toc10000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4.2 方式二：命令行启动（验收演示默认形态）</w:t>
      </w:r>
      <w:bookmarkEnd w:id="100009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.venv/Scripts/python -m uvicorn backend.main:app --port 8000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浏览器打开 http://127.0.0.1:8000/   前端同源托管，live 模式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健康检查 http://127.0.0.1:8000/health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接口文档 http://127.0.0.1:8000/docs  (Swagger)</w:t>
      </w:r>
    </w:p>
    <w:p>
      <w:pPr>
        <w:pStyle w:val="Heading2"/>
        <w:spacing w:after="140" w:before="300" w:line="360" w:lineRule="atLeast"/>
      </w:pPr>
      <w:bookmarkStart w:id="100010" w:name="_Toc100010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4.3 方式三：双端口双批次对比演示</w:t>
      </w:r>
      <w:bookmarkEnd w:id="100010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窗口 1：主库（如 ctu13_s2 批次）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.venv/Scripts/python -m uvicorn backend.main:app --port 8000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窗口 2：演示库（先重置导入靶场批次）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scripts/reset_import_export.py --name e_case01 --events out/e_case01_events.json --hosts data/hosts_e_case01.csv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.venv/Scripts/python -m uvicorn backend.main:app --port 8001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浏览器标签切换 8000/8001 即切换案例，无需改代码</w:t>
      </w:r>
    </w:p>
    <w:p>
      <w:pPr>
        <w:pStyle w:val="Heading2"/>
        <w:spacing w:after="140" w:before="300" w:line="360" w:lineRule="atLeast"/>
      </w:pPr>
      <w:bookmarkStart w:id="100011" w:name="_Toc10001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4.4 方式四：断网演示模式（兜底）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不起后端，直接双击打开 frontend/index.html——前端 2 秒内探测后端失败会自动回退内置演示数据，并在页面角落显示“演示模式（后端未连接）”徽章；也可在正常页面点击页脚“进入演示模式”按钮。该模式保证现场网络或后端故障时演示依然完整。</w:t>
      </w:r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4.5 桌面版启动</w:t>
      </w:r>
      <w:bookmarkEnd w:id="100012"/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双击 启动桌面版.bat   # 内部执行 electron 目录 npm install + npm start</w:t>
      </w:r>
    </w:p>
    <w:p>
      <w:pPr>
        <w:spacing w:after="120" w:before="60" w:line="312"/>
        <w:jc w:val="both"/>
      </w:pPr>
      <w:r>
        <w:rPr>
          <w:rFonts w:ascii="Times New Roman" w:eastAsia="KaiTi"/>
          <w:i/>
          <w:iCs/>
          <w:color w:val="666666"/>
          <w:sz w:val="21"/>
          <w:szCs w:val="21"/>
        </w:rPr>
        <w:t xml:space="preserve">停止平台：关闭对应命令行窗口即可。若窗口已关但端口仍被占用（孤儿进程），reset_import_export.py 每次运行会自动清理 8000 端口残留，或手动执行 taskkill。</w:t>
      </w:r>
    </w:p>
    <w:p>
      <w:pPr>
        <w:pStyle w:val="Heading1"/>
        <w:spacing w:after="200" w:before="400" w:line="380" w:lineRule="atLeast"/>
        <w:jc w:val="center"/>
      </w:pPr>
      <w:bookmarkStart w:id="100013" w:name="_Toc100013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五、数据导入与标准操作流程</w:t>
      </w:r>
      <w:bookmarkEnd w:id="100013"/>
    </w:p>
    <w:p>
      <w:pPr>
        <w:pStyle w:val="Heading2"/>
        <w:spacing w:after="140" w:before="300" w:line="360" w:lineRule="atLeast"/>
      </w:pPr>
      <w:bookmarkStart w:id="100014" w:name="_Toc10001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方式 A：前端页面上传（推荐，免命令行）</w:t>
      </w:r>
      <w:bookmarkEnd w:id="100014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数据管理页 → 拖拽/多选上传原始文件(pcap/evtx/log/csv/json)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POST /api/ingest 自动嗅探类型并分派 B/C 解析器入库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批次表格选择 case_id → 各页面查看数据与攻击链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同 case_id 多次上传自动追加；误导入可在批次表删除（不可恢复）</w:t>
      </w:r>
    </w:p>
    <w:p>
      <w:pPr>
        <w:pStyle w:val="Heading2"/>
        <w:spacing w:after="140" w:before="300" w:line="360" w:lineRule="atLeast"/>
      </w:pPr>
      <w:bookmarkStart w:id="100015" w:name="_Toc10001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方式 B：命令行标准流程（六步 SOP）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第一步，解析原始数据。C 网络侧用 profile 一次喂入多文件：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-m backend.parsers.network data/network_logs/e_case01/attack-to-web.pcap data/network_logs/e_case01/web-to-win10.pcap data/network_logs/e_case01/win10-to-core.pcap data/network_logs/e_case01/win10-to-c2.pcap E-work/raw/firewall/filter.log --profile e_case01 --out out/e_case01_events.json --summary-json out/e_case01_summary.json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 主机侧入口为 backend/b_host_parser/run_parse.py（单文件 --out 落地 JSONL、--post 直接入库、--dir 目录批量）；E 靶场整批可一条命令复现：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backend/b_host_parser/run_parse.py &lt;文件.evtx&gt; --out data/output/events.jsonl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backend/b_host_parser/build_e_final_batch.py --out data/output/e_final_host_events.json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第二步至第四步，入库、导出与关联分析：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第二步 入库（自动契约自检 + round-trip 比对）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scripts/post_events.py out/e_case01_events.json --sync-hosts data/hosts_e_case01.csv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第三步 一批一库导出（清库→导入→打 batch_id→导出带真实 id 的 EventOut）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scripts/reset_import_export.py --name e_case01 --events out/e_case01_events.json --hosts data/hosts_e_case01.csv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产出 data/sample_events/e_case01_eventout.json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第四步 关联分析演示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scripts/run_correlation_demo.py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第五步、第六步即前端展示与（可选的）分析报告：浏览器打开平台，页眉下拉选择批次，进入攻击链页与分析报告页；报告页点击“开始分析”由 LLM 多智能体生成溯源报告。</w:t>
      </w:r>
    </w:p>
    <w:p>
      <w:pPr>
        <w:pStyle w:val="Heading2"/>
        <w:spacing w:after="140" w:before="300" w:line="360" w:lineRule="atLeast"/>
      </w:pPr>
      <w:bookmarkStart w:id="100016" w:name="_Toc10001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5.3 数据集 profile 速查表</w:t>
      </w:r>
      <w:bookmarkEnd w:id="100016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35　解析 profile 速查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profile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internal 网段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默认主机映射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case01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自造样例攻击链 1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RFC1918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data/hosts.csv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case02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自造样例双攻击链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RFC1918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apt29_day1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 评估 Day1（公开数据集）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10.0.0.0/16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data/hosts_apt29.csv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ctu13_s2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CTU-13 场景 2（公开数据集）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147.32.0.0/16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data/hosts_ctu13.csv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e_case01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靶场实测（验收主案例）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10.10.20.0/24 + 10.10.30.0/24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data/hosts_e_case01.csv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17" w:name="_Toc10001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六、前端功能使用说明</w:t>
      </w:r>
      <w:bookmarkEnd w:id="10001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36　五个页面功能说明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pct" w:w="8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操作说明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Dashboard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查看事件总量/告警数/主机数/时间范围统计卡与三张图表；点击任意图表元素联动过滤并跳转时间线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攻击时间线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用过滤器（主机、事件类型、只看异常、严重级别、时间范围）筛查事件；点击卡片展开详情（detail 字段、原始日志、复制 JSON）；severity≥2 的事件红色标识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九阶段分列攻击图；悬停边查看步骤详情；点击节点/边/证据编号弹出原始证据；滚轮缩放、拖拽布局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分析报告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选择范围（可按批次/主机/时间过滤）后点击“开始分析”；报告含攻击路径、关键证据（可点击回查）、MITRE 映射、风险等级、处置建议与多智能体轨迹；下方自动展示攻击者画像与 APT 匹配；可一键复制为 Markdown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数据管理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拖拽上传原始数据自动解析入库；批次表格支持选择分析批次、删除批次；上传成功后列表自动刷新</w:t>
            </w:r>
          </w:p>
        </w:tc>
      </w:tr>
    </w:tbl>
    <w:p>
      <w:pPr>
        <w:spacing w:after="120"/>
      </w:pPr>
    </w:p>
    <w:p>
      <w:pPr>
        <w:spacing w:after="120" w:before="60" w:line="312"/>
        <w:jc w:val="both"/>
      </w:pPr>
      <w:r>
        <w:rPr>
          <w:rFonts w:ascii="Times New Roman" w:eastAsia="KaiTi"/>
          <w:i/>
          <w:iCs/>
          <w:color w:val="666666"/>
          <w:sz w:val="21"/>
          <w:szCs w:val="21"/>
        </w:rPr>
        <w:t xml:space="preserve">页面右上角徽章标识当前模式：live（已连接后端）或演示模式（后端未连接，使用内置数据）。</w:t>
      </w:r>
    </w:p>
    <w:p>
      <w:pPr>
        <w:pStyle w:val="Heading1"/>
        <w:spacing w:after="200" w:before="400" w:line="380" w:lineRule="atLeast"/>
        <w:jc w:val="center"/>
      </w:pPr>
      <w:bookmarkStart w:id="100018" w:name="_Toc100018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七、测试与自检命令</w:t>
      </w:r>
      <w:bookmarkEnd w:id="100018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pytest 全量测试（136 个测试函数）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-m pytest tests -q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B 模块自检（各 7 项断言）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backend/b_host_parser/verify_day1.py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python backend/b_host_parser/verify_day2.py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# 后端健康检查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curl http://127.0.0.1:8000/health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交付目录 data/sample_events/ 下的批次 EventOut 文件由 tests/test_contract_guard.py 自动受检，任何字段契约漂移都会导致测试失败。</w:t>
      </w:r>
    </w:p>
    <w:p>
      <w:pPr>
        <w:pStyle w:val="Heading1"/>
        <w:spacing w:after="200" w:before="400" w:line="380" w:lineRule="atLeast"/>
        <w:jc w:val="center"/>
      </w:pPr>
      <w:bookmarkStart w:id="100019" w:name="_Toc100019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八、常见问题与排障</w:t>
      </w:r>
      <w:bookmarkEnd w:id="10001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37　常见问题（FAQ）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pct" w:w="7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原因与处理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导入返回 422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看响应 detail 的字段级错误：常见为 timestamp 缺 +08:00 时区、host 为空、detail 非对象、dst_port 传 0（应传 null）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端口 8000 被占用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孤儿 uvicorn 残留：reset_import_export.py 自动清理，或手动 taskkill /PID &lt;pid&gt; /F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页面显示 0 事件但接口有数据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浏览器缓存旧 JS：前端更新后需统一提升 index.html 中 script 的 ?v= 版本号；或所选批次已被删除，系统会自动清除过滤并提示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契约自检不合规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按打印的问题行修数：禁止 unknown/空串/0 占位，缺失一律 null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关联结果跨批次串链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违反批次约定：确认只消费单批 EventOut，且按 case_id 过滤生效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大模型分析一直转圈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LLM 接口超时 30 秒后自动降级为规则报告（source=fallback）；检查 .env 配置或网络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上传文件未出现在批次里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确认 case_id 一致（同 case 自动追加，不同 case 是新批次）；查看浏览器 Network 面板确认 /api/ingest 响应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20" w:name="_Toc10002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九、打包提交说明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按课程要求，打包提交九项材料，压缩包命名为“组长班级+组长姓名+学号.zip”。材料清单与源代码包口径如下：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38　打包清单核对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材料</w:t>
            </w:r>
          </w:p>
        </w:tc>
        <w:tc>
          <w:tcPr>
            <w:tcW w:type="pct" w:w="6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核对要点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任务分工说明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docs/交付材料/01-任务分工说明.docx（补齐成员姓名/学号后放入包）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作品技术原理介绍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docs/交付材料/02-作品技术原理介绍.docx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概要设计报告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docs/交付材料/03-概要设计报告.docx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详细设计报告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docs/交付材料/04-详细设计报告.docx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测试分析报告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docs/交付材料/05-测试分析报告.docx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程序编译和安装使用文档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docs/交付材料/06-程序编译和安装使用文档.docx（本文档）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程序源代码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整仓源码；不含 SQLite 数据库文件与数据集原始包（.gitignore 口径），数据集可用 fetch_dataset.py 重新获取；附 Readme 与 docs/ 使用手册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PPT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答辩PPT-恶意攻击行为溯源分析系统.pptx（16 页）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截屏录像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平台演示录屏：数据导入 → 时间线 → 攻击链 → 分析报告 → 断网兜底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提交前建议在干净环境按本文档第三章重新安装一次并跑通“一键启动 → 加载 e_case01 批次 → 时间线/攻击链/报告”演示动线，确认依赖清单完整。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程序编译和安装使用文档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程序编译和安装使用文档</dc:title>
  <dc:creator>恶意攻击行为溯源分析系统项目组</dc:creator>
  <cp:lastModifiedBy>Un-named</cp:lastModifiedBy>
  <cp:revision>1</cp:revision>
  <dcterms:created xsi:type="dcterms:W3CDTF">2026-09-11T12:12:49.285Z</dcterms:created>
  <dcterms:modified xsi:type="dcterms:W3CDTF">2026-09-11T12:12:49.285Z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