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EFE" w:val="clear"/>
          </w:tcPr>
          <w:p>
            <w:pPr>
              <w:spacing w:before="4596"/>
            </w:pPr>
          </w:p>
          <w:p>
            <w:pPr>
              <w:pBdr>
                <w:bottom w:val="single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spacing w:val="40"/>
                <w:sz w:val="18"/>
                <w:szCs w:val="18"/>
              </w:rPr>
              <w:t xml:space="preserve">C  O  U  R  S  E     D  E  S  I  G  N     D  E  L  I  V  E  R  A  B  L  E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0E4A56"/>
                <w:sz w:val="80"/>
                <w:szCs w:val="80"/>
              </w:rPr>
              <w:t xml:space="preserve">测试分析报告</w:t>
            </w:r>
          </w:p>
          <w:p>
            <w:pPr>
              <w:spacing w:after="800" w:line="380" w:lineRule="atLeast"/>
              <w:ind w:left="1200"/>
            </w:pPr>
            <w:r>
              <w:rPr>
                <w:rFonts w:ascii="Arial" w:eastAsia="Microsoft YaHei"/>
                <w:color w:val="5A6670"/>
                <w:sz w:val="24"/>
                <w:szCs w:val="24"/>
              </w:rPr>
              <w:t xml:space="preserve">恶意攻击行为溯源分析系统（网络空间安全课程设计 · 题 3）</w:t>
            </w:r>
          </w:p>
          <w:p>
            <w:pPr>
              <w:pBdr>
                <w:left w:val="single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707070"/>
                <w:sz w:val="24"/>
                <w:szCs w:val="24"/>
              </w:rPr>
              <w:t xml:space="preserve">课程：网络空间安全与信息安全课程设计</w:t>
            </w:r>
          </w:p>
          <w:p>
            <w:pPr>
              <w:pBdr>
                <w:left w:val="single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707070"/>
                <w:sz w:val="24"/>
                <w:szCs w:val="24"/>
              </w:rPr>
              <w:t xml:space="preserve">组长：【组长姓名】　班级：【班级】　学号：【学号】</w:t>
            </w:r>
          </w:p>
          <w:p>
            <w:pPr>
              <w:pBdr>
                <w:left w:val="single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707070"/>
                <w:sz w:val="24"/>
                <w:szCs w:val="24"/>
              </w:rPr>
              <w:t xml:space="preserve">组员：【组员姓名× 5，详见任务分工说明】</w:t>
            </w:r>
          </w:p>
          <w:p>
            <w:pPr>
              <w:pBdr>
                <w:left w:val="single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707070"/>
                <w:sz w:val="24"/>
                <w:szCs w:val="24"/>
              </w:rPr>
              <w:t xml:space="preserve">验收日期：2026 年 9 月 12 日（沙河校区 N103）</w:t>
            </w:r>
          </w:p>
          <w:p>
            <w:pPr>
              <w:spacing w:before="4596"/>
            </w:pPr>
          </w:p>
          <w:p>
            <w:pPr>
              <w:pBdr>
                <w:top w:val="single" w:sz="2" w:space="8"/>
              </w:pBdr>
              <w:spacing w:before="200"/>
              <w:ind w:left="1200" w:right="800"/>
            </w:pPr>
            <w:r>
              <w:rPr>
                <w:rFonts w:ascii="Arial" w:eastAsia="Microsoft YaHei"/>
                <w:color w:val="9AA5AA"/>
                <w:sz w:val="16"/>
                <w:szCs w:val="16"/>
              </w:rPr>
              <w:t xml:space="preserve">恶意攻击行为溯源分析系统</w:t>
            </w:r>
            <w:r>
              <w:t xml:space="preserve">                                        </w:t>
            </w:r>
            <w:r>
              <w:rPr>
                <w:rFonts w:ascii="Arial" w:eastAsia="Microsoft YaHei"/>
                <w:color w:val="9AA5AA"/>
                <w:sz w:val="16"/>
                <w:szCs w:val="16"/>
              </w:rPr>
              <w:t xml:space="preserve">2026-09-12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Times New Roman" w:eastAsia="SimHei"/>
          <w:b/>
          <w:bCs/>
          <w:color w:val="222222"/>
          <w:sz w:val="32"/>
          <w:szCs w:val="32"/>
        </w:rPr>
        <w:t xml:space="preserve">目  录</w:t>
      </w:r>
    </w:p>
    <w:sdt>
      <w:sdtPr>
        <w:alias w:val="Table of Contents"/>
      </w:sdtPr>
      <w:sdtContent>
        <w:p>
          <w:r>
            <w:fldChar w:fldCharType="begin" w:dirty="true"/>
          </w:r>
          <w:r>
            <w:instrText xml:space="preserve">TOC \h \o "1-3"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一、测试概述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二、测试范围与环境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2.1 测试体系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2.2 测试环境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三、测试方案与用例设计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3.1 自动化用例分布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3.2 测试数据集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四、测试要求（一）：公开数据集溯源实验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4.1 CTU-13 场景 2（Neris 僵尸网络）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4.2 APT29 ATT&amp;CK Evaluations Day1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五、测试要求（二）：自建靶场完整入侵链验证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5.1 靶场与攻击链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5.2 网络侧逐段检出结果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5.3 调参记录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六、主机日志解析专项测试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6.1 自检断言清单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6" w:history="1">
            <w:r>
              <w:rPr>
                <w:rStyle w:val="Hyperlink"/>
              </w:rPr>
              <w:t>6.2 E 靶场主机侧整批测试</w:t>
            </w:r>
            <w:r>
              <w:tab/>
            </w:r>
            <w:r>
              <w:fldChar w:fldCharType="begin"/>
            </w:r>
            <w:r>
              <w:instrText xml:space="preserve"> PAGEREF _Toc100016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7" w:history="1">
            <w:r>
              <w:rPr>
                <w:rStyle w:val="Hyperlink"/>
              </w:rPr>
              <w:t>七、测试结果汇总</w:t>
            </w:r>
            <w:r>
              <w:tab/>
            </w:r>
            <w:r>
              <w:fldChar w:fldCharType="begin"/>
            </w:r>
            <w:r>
              <w:instrText xml:space="preserve"> PAGEREF _Toc100017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8" w:history="1">
            <w:r>
              <w:rPr>
                <w:rStyle w:val="Hyperlink"/>
              </w:rPr>
              <w:t>八、缺陷分析与修复记录</w:t>
            </w:r>
            <w:r>
              <w:tab/>
            </w:r>
            <w:r>
              <w:fldChar w:fldCharType="begin"/>
            </w:r>
            <w:r>
              <w:instrText xml:space="preserve"> PAGEREF _Toc100018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9" w:history="1">
            <w:r>
              <w:rPr>
                <w:rStyle w:val="Hyperlink"/>
              </w:rPr>
              <w:t>九、遗留问题与风险评估</w:t>
            </w:r>
            <w:r>
              <w:tab/>
            </w:r>
            <w:r>
              <w:fldChar w:fldCharType="begin"/>
            </w:r>
            <w:r>
              <w:instrText xml:space="preserve"> PAGEREF _Toc100019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0" w:history="1">
            <w:r>
              <w:rPr>
                <w:rStyle w:val="Hyperlink"/>
              </w:rPr>
              <w:t>十、测试结论</w:t>
            </w:r>
            <w:r>
              <w:tab/>
            </w:r>
            <w:r>
              <w:fldChar w:fldCharType="begin"/>
            </w:r>
            <w:r>
              <w:instrText xml:space="preserve"> PAGEREF _Toc100020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eastAsia="KaiTi"/>
          <w:i/>
          <w:iCs/>
          <w:color w:val="888888"/>
          <w:sz w:val="18"/>
          <w:szCs w:val="18"/>
        </w:rPr>
        <w:t xml:space="preserve">注：本目录由域代码生成。若编辑后页码变化，请在 Word 中右键点击目录并选择“更新域”刷新页码。</w:t>
      </w:r>
    </w:p>
    <w:p>
      <w:r>
        <w:br w:type="page"/>
      </w:r>
    </w:p>
    <w:p>
      <w:pPr>
        <w:sectPr>
          <w:footerReference w:type="default" r:id="rId7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Style w:val="Heading1"/>
        <w:spacing w:after="200" w:before="400" w:line="380" w:lineRule="atLeast"/>
        <w:jc w:val="center"/>
      </w:pPr>
      <w:bookmarkStart w:id="100000" w:name="_Toc100000"/>
      <w:r>
        <w:rPr>
          <w:rFonts w:ascii="Times New Roman" w:eastAsia="SimHei"/>
          <w:b/>
          <w:bCs/>
          <w:color w:val="0E4A56"/>
          <w:sz w:val="32"/>
          <w:szCs w:val="32"/>
        </w:rPr>
        <w:t xml:space="preserve">一、测试概述</w:t>
      </w:r>
      <w:bookmarkEnd w:id="100000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本报告给出恶意攻击行为溯源分析系统的测试方案、测试执行结果与缺陷分析。测试依据为题目测试要求：(1) 收集互联网中企业内网攻击行为数据集，针对数据集环境开展恶意攻击行为溯源分析；(2) 搭建包含不少于 8 个节点的靶场环境，基于开源攻击软件构建完整入侵链，开展多源数据采集下的溯源分析结果验证。测试目标覆盖三个层面：解析器对真实环境数据格式的兼容能力、检测规则在真实流量中的命中与误报情况、以及与数据集自带 ground truth 的对照结果。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测试对象为系统全链路：主机日志解析（Windows EVTX/Sysmon、Linux auth.log/auditd）、网络流量解析与异常检测、后端契约校验与存储、攻击链关联与身份溯源、LLM 分析报告与前端展示。</w:t>
      </w:r>
    </w:p>
    <w:p>
      <w:pPr>
        <w:pStyle w:val="Heading1"/>
        <w:spacing w:after="200" w:before="400" w:line="380" w:lineRule="atLeast"/>
        <w:jc w:val="center"/>
      </w:pPr>
      <w:bookmarkStart w:id="100001" w:name="_Toc100001"/>
      <w:r>
        <w:rPr>
          <w:rFonts w:ascii="Times New Roman" w:eastAsia="SimHei"/>
          <w:b/>
          <w:bCs/>
          <w:color w:val="0E4A56"/>
          <w:sz w:val="32"/>
          <w:szCs w:val="32"/>
        </w:rPr>
        <w:t xml:space="preserve">二、测试范围与环境</w:t>
      </w:r>
      <w:bookmarkEnd w:id="100001"/>
    </w:p>
    <w:p>
      <w:pPr>
        <w:pStyle w:val="Heading2"/>
        <w:spacing w:after="140" w:before="300" w:line="360" w:lineRule="atLeast"/>
      </w:pPr>
      <w:bookmarkStart w:id="100002" w:name="_Toc100002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2.1 测试体系</w:t>
      </w:r>
      <w:bookmarkEnd w:id="100002"/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333333"/>
          <w:sz w:val="21"/>
          <w:szCs w:val="21"/>
        </w:rPr>
        <w:t xml:space="preserve">表 23　三层自动化测试体系</w:t>
      </w:r>
    </w:p>
    <w:tbl>
      <w:tblPr>
        <w:tblW w:type="pct" w:w="100%"/>
        <w:tblBorders>
          <w:top w:val="single" w:color="1B6B7A" w:sz="6"/>
          <w:left w:val="none" w:color="FFFFFF" w:sz="0"/>
          <w:bottom w:val="single" w:color="1B6B7A" w:sz="6"/>
          <w:right w:val="none" w:color="FFFFFF" w:sz="0"/>
          <w:insideH w:val="single" w:color="C8DDE2" w:sz="2"/>
          <w:insideV w:val="none" w:color="FFFFFF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层次</w:t>
            </w:r>
          </w:p>
        </w:tc>
        <w:tc>
          <w:tcPr>
            <w:tcW w:type="pct" w:w="52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内容</w:t>
            </w:r>
          </w:p>
        </w:tc>
        <w:tc>
          <w:tcPr>
            <w:tcW w:type="pct" w:w="28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规模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单元/集成测试</w:t>
            </w:r>
          </w:p>
        </w:tc>
        <w:tc>
          <w:tcPr>
            <w:tcW w:type="pct" w:w="5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tests/ 目录 pytest 测试：网络解析、关联分析、契约守卫、攻击链接口、归因、LLM 分析、数据接入等</w:t>
            </w:r>
          </w:p>
        </w:tc>
        <w:tc>
          <w:tcPr>
            <w:tcW w:type="pct" w:w="2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11 个测试文件、136 个测试函数（参数化展开 182 例全部通过）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模块自检脚本</w:t>
            </w:r>
          </w:p>
        </w:tc>
        <w:tc>
          <w:tcPr>
            <w:tcW w:type="pct" w:w="5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B 侧 verify_day1 / verify_day2：契约逐词校验、事件 ID 字段断言、会话重建、异常规则命中与不误报、目录容错、真实产物逐行校验、Linux 双格式断言、文件删除/改名与内存行为分析断言</w:t>
            </w:r>
          </w:p>
        </w:tc>
        <w:tc>
          <w:tcPr>
            <w:tcW w:type="pct" w:w="2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各 7 项断言，共 14 项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契约守卫与导出校验</w:t>
            </w:r>
          </w:p>
        </w:tc>
        <w:tc>
          <w:tcPr>
            <w:tcW w:type="pct" w:w="5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解析器输出 validate_events、交付件 validate_eventout、tests/test_contract_guard.py 对全部批次 EventOut 文件自动受检</w:t>
            </w:r>
          </w:p>
        </w:tc>
        <w:tc>
          <w:tcPr>
            <w:tcW w:type="pct" w:w="2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全部 5 个批次 EventOut 受检</w:t>
            </w:r>
          </w:p>
        </w:tc>
      </w:tr>
    </w:tbl>
    <w:p>
      <w:pPr>
        <w:spacing w:after="120"/>
      </w:pPr>
    </w:p>
    <w:p>
      <w:pPr>
        <w:pStyle w:val="Heading2"/>
        <w:spacing w:after="140" w:before="300" w:line="360" w:lineRule="atLeast"/>
      </w:pPr>
      <w:bookmarkStart w:id="100003" w:name="_Toc100003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2.2 测试环境</w:t>
      </w:r>
      <w:bookmarkEnd w:id="100003"/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333333"/>
          <w:sz w:val="21"/>
          <w:szCs w:val="21"/>
        </w:rPr>
        <w:t xml:space="preserve">表 24　测试环境</w:t>
      </w:r>
    </w:p>
    <w:tbl>
      <w:tblPr>
        <w:tblW w:type="pct" w:w="100%"/>
        <w:tblBorders>
          <w:top w:val="single" w:color="1B6B7A" w:sz="6"/>
          <w:left w:val="none" w:color="FFFFFF" w:sz="0"/>
          <w:bottom w:val="single" w:color="1B6B7A" w:sz="6"/>
          <w:right w:val="none" w:color="FFFFFF" w:sz="0"/>
          <w:insideH w:val="single" w:color="C8DDE2" w:sz="2"/>
          <w:insideV w:val="none" w:color="FFFFFF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环境项</w:t>
            </w:r>
          </w:p>
        </w:tc>
        <w:tc>
          <w:tcPr>
            <w:tcW w:type="pct" w:w="80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配置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操作系统</w:t>
            </w:r>
          </w:p>
        </w:tc>
        <w:tc>
          <w:tcPr>
            <w:tcW w:type="pct" w:w="8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Windows 10/11（开发与解析）、VMware 虚拟化靶场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运行时</w:t>
            </w:r>
          </w:p>
        </w:tc>
        <w:tc>
          <w:tcPr>
            <w:tcW w:type="pct" w:w="8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Python 3.10.11（实测全量测试通过；Readme 建议 3.12+）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依赖</w:t>
            </w:r>
          </w:p>
        </w:tc>
        <w:tc>
          <w:tcPr>
            <w:tcW w:type="pct" w:w="8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FastAPI 0.141.1、Pydantic 2.13.5、python-evtx、scapy、httpx 等（requirements.txt）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靶场</w:t>
            </w:r>
          </w:p>
        </w:tc>
        <w:tc>
          <w:tcPr>
            <w:tcW w:type="pct" w:w="8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9 节点三网段（WAN 10.10.10.0/24、DMZ 10.10.20.0/24、LAN 10.10.30.0/24），OPNsense 防火墙隔离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公开数据集</w:t>
            </w:r>
          </w:p>
        </w:tc>
        <w:tc>
          <w:tcPr>
            <w:tcW w:type="pct" w:w="8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CTU-13 场景 2（Stratosphere IPS Lab）、APT29 ATT&amp;CK Evaluations Day1（OTRF）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大模型</w:t>
            </w:r>
          </w:p>
        </w:tc>
        <w:tc>
          <w:tcPr>
            <w:tcW w:type="pct" w:w="8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OpenAI 兼容接口（DeepSeek deepseek-chat，可配置更换）</w:t>
            </w:r>
          </w:p>
        </w:tc>
      </w:tr>
    </w:tbl>
    <w:p>
      <w:pPr>
        <w:spacing w:after="120"/>
      </w:pPr>
    </w:p>
    <w:p>
      <w:pPr>
        <w:pStyle w:val="Heading1"/>
        <w:spacing w:after="200" w:before="400" w:line="380" w:lineRule="atLeast"/>
        <w:jc w:val="center"/>
      </w:pPr>
      <w:bookmarkStart w:id="100004" w:name="_Toc100004"/>
      <w:r>
        <w:rPr>
          <w:rFonts w:ascii="Times New Roman" w:eastAsia="SimHei"/>
          <w:b/>
          <w:bCs/>
          <w:color w:val="0E4A56"/>
          <w:sz w:val="32"/>
          <w:szCs w:val="32"/>
        </w:rPr>
        <w:t xml:space="preserve">三、测试方案与用例设计</w:t>
      </w:r>
      <w:bookmarkEnd w:id="100004"/>
    </w:p>
    <w:p>
      <w:pPr>
        <w:pStyle w:val="Heading2"/>
        <w:spacing w:after="140" w:before="300" w:line="360" w:lineRule="atLeast"/>
      </w:pPr>
      <w:bookmarkStart w:id="100005" w:name="_Toc100005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3.1 自动化用例分布</w:t>
      </w:r>
      <w:bookmarkEnd w:id="100005"/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333333"/>
          <w:sz w:val="21"/>
          <w:szCs w:val="21"/>
        </w:rPr>
        <w:t xml:space="preserve">表 25　pytest 测试文件与用例数</w:t>
      </w:r>
    </w:p>
    <w:tbl>
      <w:tblPr>
        <w:tblW w:type="pct" w:w="100%"/>
        <w:tblBorders>
          <w:top w:val="single" w:color="1B6B7A" w:sz="6"/>
          <w:left w:val="none" w:color="FFFFFF" w:sz="0"/>
          <w:bottom w:val="single" w:color="1B6B7A" w:sz="6"/>
          <w:right w:val="none" w:color="FFFFFF" w:sz="0"/>
          <w:insideH w:val="single" w:color="C8DDE2" w:sz="2"/>
          <w:insideV w:val="none" w:color="FFFFFF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4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测试文件</w:t>
            </w:r>
          </w:p>
        </w:tc>
        <w:tc>
          <w:tcPr>
            <w:tcW w:type="pct" w:w="12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用例数</w:t>
            </w:r>
          </w:p>
        </w:tc>
        <w:tc>
          <w:tcPr>
            <w:tcW w:type="pct" w:w="54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覆盖内容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test_network_parser.py</w:t>
            </w:r>
          </w:p>
        </w:tc>
        <w:tc>
          <w:tcPr>
            <w:tcW w:type="pct" w:w="1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26</w:t>
            </w:r>
          </w:p>
        </w:tc>
        <w:tc>
          <w:tcPr>
            <w:tcW w:type="pct" w:w="5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PCAP/Zeek/CSV 解析、五元组聚合、时间格式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test_correlation.py</w:t>
            </w:r>
          </w:p>
        </w:tc>
        <w:tc>
          <w:tcPr>
            <w:tcW w:type="pct" w:w="1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26</w:t>
            </w:r>
          </w:p>
        </w:tc>
        <w:tc>
          <w:tcPr>
            <w:tcW w:type="pct" w:w="5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九阶段关联规则、时间窗关联、去重编号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test_network_v2_features.py</w:t>
            </w:r>
          </w:p>
        </w:tc>
        <w:tc>
          <w:tcPr>
            <w:tcW w:type="pct" w:w="1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17</w:t>
            </w:r>
          </w:p>
        </w:tc>
        <w:tc>
          <w:tcPr>
            <w:tcW w:type="pct" w:w="5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网络事件 V2 特性（detail 字段、告警事件化）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test_contract_guard.py</w:t>
            </w:r>
          </w:p>
        </w:tc>
        <w:tc>
          <w:tcPr>
            <w:tcW w:type="pct" w:w="1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16</w:t>
            </w:r>
          </w:p>
        </w:tc>
        <w:tc>
          <w:tcPr>
            <w:tcW w:type="pct" w:w="5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Event V2 契约守卫：字段集、枚举、时区、占位值、EventOut 文件受检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test_llm_analysis.py</w:t>
            </w:r>
          </w:p>
        </w:tc>
        <w:tc>
          <w:tcPr>
            <w:tcW w:type="pct" w:w="1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10</w:t>
            </w:r>
          </w:p>
        </w:tc>
        <w:tc>
          <w:tcPr>
            <w:tcW w:type="pct" w:w="5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Agent 编排、输出强校验、降级路径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test_attack_chain.py</w:t>
            </w:r>
          </w:p>
        </w:tc>
        <w:tc>
          <w:tcPr>
            <w:tcW w:type="pct" w:w="1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9</w:t>
            </w:r>
          </w:p>
        </w:tc>
        <w:tc>
          <w:tcPr>
            <w:tcW w:type="pct" w:w="5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攻击链接口、攻击图、路径重建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test_attribution.py</w:t>
            </w:r>
          </w:p>
        </w:tc>
        <w:tc>
          <w:tcPr>
            <w:tcW w:type="pct" w:w="1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9</w:t>
            </w:r>
          </w:p>
        </w:tc>
        <w:tc>
          <w:tcPr>
            <w:tcW w:type="pct" w:w="5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指纹提取、C2 聚合、混合评分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test_prepare_demo_db.py</w:t>
            </w:r>
          </w:p>
        </w:tc>
        <w:tc>
          <w:tcPr>
            <w:tcW w:type="pct" w:w="1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9</w:t>
            </w:r>
          </w:p>
        </w:tc>
        <w:tc>
          <w:tcPr>
            <w:tcW w:type="pct" w:w="5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演示库准备、批次切换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test_case_integration.py</w:t>
            </w:r>
          </w:p>
        </w:tc>
        <w:tc>
          <w:tcPr>
            <w:tcW w:type="pct" w:w="1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7</w:t>
            </w:r>
          </w:p>
        </w:tc>
        <w:tc>
          <w:tcPr>
            <w:tcW w:type="pct" w:w="5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case_id 隔离、批次导入删除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test_ingest_api.py</w:t>
            </w:r>
          </w:p>
        </w:tc>
        <w:tc>
          <w:tcPr>
            <w:tcW w:type="pct" w:w="1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4</w:t>
            </w:r>
          </w:p>
        </w:tc>
        <w:tc>
          <w:tcPr>
            <w:tcW w:type="pct" w:w="5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上传嗅探、类型分派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test_network_http_semantics.py</w:t>
            </w:r>
          </w:p>
        </w:tc>
        <w:tc>
          <w:tcPr>
            <w:tcW w:type="pct" w:w="1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3</w:t>
            </w:r>
          </w:p>
        </w:tc>
        <w:tc>
          <w:tcPr>
            <w:tcW w:type="pct" w:w="5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内网 HTTP 语义关联（Collection）</w:t>
            </w:r>
          </w:p>
        </w:tc>
      </w:tr>
    </w:tbl>
    <w:p>
      <w:pPr>
        <w:spacing w:after="120"/>
      </w:pPr>
    </w:p>
    <w:p>
      <w:pPr>
        <w:pStyle w:val="Heading2"/>
        <w:spacing w:after="140" w:before="300" w:line="360" w:lineRule="atLeast"/>
      </w:pPr>
      <w:bookmarkStart w:id="100006" w:name="_Toc100006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3.2 测试数据集</w:t>
      </w:r>
      <w:bookmarkEnd w:id="100006"/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333333"/>
          <w:sz w:val="21"/>
          <w:szCs w:val="21"/>
        </w:rPr>
        <w:t xml:space="preserve">表 26　测试数据与规模</w:t>
      </w:r>
    </w:p>
    <w:tbl>
      <w:tblPr>
        <w:tblW w:type="pct" w:w="100%"/>
        <w:tblBorders>
          <w:top w:val="single" w:color="1B6B7A" w:sz="6"/>
          <w:left w:val="none" w:color="FFFFFF" w:sz="0"/>
          <w:bottom w:val="single" w:color="1B6B7A" w:sz="6"/>
          <w:right w:val="none" w:color="FFFFFF" w:sz="0"/>
          <w:insideH w:val="single" w:color="C8DDE2" w:sz="2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6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数据集</w:t>
            </w:r>
          </w:p>
        </w:tc>
        <w:tc>
          <w:tcPr>
            <w:tcW w:type="pct" w:w="14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类型</w:t>
            </w:r>
          </w:p>
        </w:tc>
        <w:tc>
          <w:tcPr>
            <w:tcW w:type="pct" w:w="40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规模</w:t>
            </w:r>
          </w:p>
        </w:tc>
        <w:tc>
          <w:tcPr>
            <w:tcW w:type="pct" w:w="30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来源/依据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E 靶场 e_case01</w:t>
            </w:r>
          </w:p>
        </w:tc>
        <w:tc>
          <w:tcPr>
            <w:tcW w:type="pct" w:w="1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自建靶场实测</w:t>
            </w:r>
          </w:p>
        </w:tc>
        <w:tc>
          <w:tcPr>
            <w:tcW w:type="pct" w:w="4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4 个抓包点 PCAP + 防火墙日志；网络侧 132 条 + 防火墙 588 条 = EventOut 720 条；主机侧 47,195 条</w:t>
            </w:r>
          </w:p>
        </w:tc>
        <w:tc>
          <w:tcPr>
            <w:tcW w:type="pct" w:w="3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9/9 完整受控攻击链（CASE01-RUN-FINAL-01）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CTU-13 场景 2</w:t>
            </w:r>
          </w:p>
        </w:tc>
        <w:tc>
          <w:tcPr>
            <w:tcW w:type="pct" w:w="1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公开数据集</w:t>
            </w:r>
          </w:p>
        </w:tc>
        <w:tc>
          <w:tcPr>
            <w:tcW w:type="pct" w:w="4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Zeek 日志全集 356 万行（571MB）；实验取前 10 万行 × 3 日志（约 25 分钟窗口，139,195 会话）</w:t>
            </w:r>
          </w:p>
        </w:tc>
        <w:tc>
          <w:tcPr>
            <w:tcW w:type="pct" w:w="3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官方 README 感染主机 147.32.84.165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APT29 Day1</w:t>
            </w:r>
          </w:p>
        </w:tc>
        <w:tc>
          <w:tcPr>
            <w:tcW w:type="pct" w:w="1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公开数据集</w:t>
            </w:r>
          </w:p>
        </w:tc>
        <w:tc>
          <w:tcPr>
            <w:tcW w:type="pct" w:w="4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合并 Zeek JSON 流 613 会话；主机事件 62,698 条</w:t>
            </w:r>
          </w:p>
        </w:tc>
        <w:tc>
          <w:tcPr>
            <w:tcW w:type="pct" w:w="3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仓库 26 条 Sigma 规则的 19 个 ATT&amp;CK 技术标签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自造样例</w:t>
            </w:r>
          </w:p>
        </w:tc>
        <w:tc>
          <w:tcPr>
            <w:tcW w:type="pct" w:w="1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开发样例</w:t>
            </w:r>
          </w:p>
        </w:tc>
        <w:tc>
          <w:tcPr>
            <w:tcW w:type="pct" w:w="4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case01/case02 攻击链 PCAP；4 份 EVTX-ATTACK-SAMPLES</w:t>
            </w:r>
          </w:p>
        </w:tc>
        <w:tc>
          <w:tcPr>
            <w:tcW w:type="pct" w:w="3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gen_sample_pcap.py 生成</w:t>
            </w:r>
          </w:p>
        </w:tc>
      </w:tr>
    </w:tbl>
    <w:p>
      <w:pPr>
        <w:spacing w:after="120"/>
      </w:pPr>
    </w:p>
    <w:p>
      <w:pPr>
        <w:pStyle w:val="Heading1"/>
        <w:spacing w:after="200" w:before="400" w:line="380" w:lineRule="atLeast"/>
        <w:jc w:val="center"/>
      </w:pPr>
      <w:bookmarkStart w:id="100007" w:name="_Toc100007"/>
      <w:r>
        <w:rPr>
          <w:rFonts w:ascii="Times New Roman" w:eastAsia="SimHei"/>
          <w:b/>
          <w:bCs/>
          <w:color w:val="0E4A56"/>
          <w:sz w:val="32"/>
          <w:szCs w:val="32"/>
        </w:rPr>
        <w:t xml:space="preserve">四、测试要求（一）：公开数据集溯源实验</w:t>
      </w:r>
      <w:bookmarkEnd w:id="100007"/>
    </w:p>
    <w:p>
      <w:pPr>
        <w:pStyle w:val="Heading2"/>
        <w:spacing w:after="140" w:before="300" w:line="360" w:lineRule="atLeast"/>
      </w:pPr>
      <w:bookmarkStart w:id="100008" w:name="_Toc100008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4.1 CTU-13 场景 2（Neris 僵尸网络）</w:t>
      </w:r>
      <w:bookmarkEnd w:id="100008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适配改造：CSV 列名别名（binetflow 格式）、小数秒时间戳四种格式、数据集标签进 detail、广播地址过滤，并依据实验观察新增 CC 轮询规则（同源对同端口窗口内轮询 ≥5 个不同外部主机）。检出结果对照官方 ground truth（感染主机 147.32.84.165）：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333333"/>
          <w:sz w:val="21"/>
          <w:szCs w:val="21"/>
        </w:rPr>
        <w:t xml:space="preserve">表 27　CTU-13 检出结果（对照感染主机）</w:t>
      </w:r>
    </w:p>
    <w:tbl>
      <w:tblPr>
        <w:tblW w:type="pct" w:w="100%"/>
        <w:tblBorders>
          <w:top w:val="single" w:color="1B6B7A" w:sz="6"/>
          <w:left w:val="none" w:color="FFFFFF" w:sz="0"/>
          <w:bottom w:val="single" w:color="1B6B7A" w:sz="6"/>
          <w:right w:val="none" w:color="FFFFFF" w:sz="0"/>
          <w:insideH w:val="single" w:color="C8DDE2" w:sz="2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规则</w:t>
            </w:r>
          </w:p>
        </w:tc>
        <w:tc>
          <w:tcPr>
            <w:tcW w:type="pct" w:w="16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命中感染主机(TP)</w:t>
            </w:r>
          </w:p>
        </w:tc>
        <w:tc>
          <w:tcPr>
            <w:tcW w:type="pct" w:w="14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背景流量告警</w:t>
            </w:r>
          </w:p>
        </w:tc>
        <w:tc>
          <w:tcPr>
            <w:tcW w:type="pct" w:w="44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suspicious_port（T1571）</w:t>
            </w:r>
          </w:p>
        </w:tc>
        <w:tc>
          <w:tcPr>
            <w:tcW w:type="pct" w:w="1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8</w:t>
            </w:r>
          </w:p>
        </w:tc>
        <w:tc>
          <w:tcPr>
            <w:tcW w:type="pct" w:w="1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2</w:t>
            </w:r>
          </w:p>
        </w:tc>
        <w:tc>
          <w:tcPr>
            <w:tcW w:type="pct" w:w="4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感染主机向 7 个外部 IP 的 6667/IRC C2 连接全部命中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cc_rotation（T1071）</w:t>
            </w:r>
          </w:p>
        </w:tc>
        <w:tc>
          <w:tcPr>
            <w:tcW w:type="pct" w:w="1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1</w:t>
            </w:r>
          </w:p>
        </w:tc>
        <w:tc>
          <w:tcPr>
            <w:tcW w:type="pct" w:w="1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0</w:t>
            </w:r>
          </w:p>
        </w:tc>
        <w:tc>
          <w:tcPr>
            <w:tcW w:type="pct" w:w="4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感染主机 25 分钟轮询 7 个 C2，新规则零误报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exfiltration（T1048）</w:t>
            </w:r>
          </w:p>
        </w:tc>
        <w:tc>
          <w:tcPr>
            <w:tcW w:type="pct" w:w="1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0</w:t>
            </w:r>
          </w:p>
        </w:tc>
        <w:tc>
          <w:tcPr>
            <w:tcW w:type="pct" w:w="1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18</w:t>
            </w:r>
          </w:p>
        </w:tc>
        <w:tc>
          <w:tcPr>
            <w:tcW w:type="pct" w:w="4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背景窗口内正常软件更新类大流量下载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c2_beacon（T1071）</w:t>
            </w:r>
          </w:p>
        </w:tc>
        <w:tc>
          <w:tcPr>
            <w:tcW w:type="pct" w:w="1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0</w:t>
            </w:r>
          </w:p>
        </w:tc>
        <w:tc>
          <w:tcPr>
            <w:tcW w:type="pct" w:w="1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11</w:t>
            </w:r>
          </w:p>
        </w:tc>
        <w:tc>
          <w:tcPr>
            <w:tcW w:type="pct" w:w="4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正常主机周期性外联（补丁/时间同步）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dns_tunnel（T1071.004）</w:t>
            </w:r>
          </w:p>
        </w:tc>
        <w:tc>
          <w:tcPr>
            <w:tcW w:type="pct" w:w="1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0</w:t>
            </w:r>
          </w:p>
        </w:tc>
        <w:tc>
          <w:tcPr>
            <w:tcW w:type="pct" w:w="1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8</w:t>
            </w:r>
          </w:p>
        </w:tc>
        <w:tc>
          <w:tcPr>
            <w:tcW w:type="pct" w:w="4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CDN 类高熵长子域名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brute_force / 横向 / Web 攻击</w:t>
            </w:r>
          </w:p>
        </w:tc>
        <w:tc>
          <w:tcPr>
            <w:tcW w:type="pct" w:w="1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0</w:t>
            </w:r>
          </w:p>
        </w:tc>
        <w:tc>
          <w:tcPr>
            <w:tcW w:type="pct" w:w="1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20</w:t>
            </w:r>
          </w:p>
        </w:tc>
        <w:tc>
          <w:tcPr>
            <w:tcW w:type="pct" w:w="4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背景流量中的正常远程服务与含参数请求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合计</w:t>
            </w:r>
          </w:p>
        </w:tc>
        <w:tc>
          <w:tcPr>
            <w:tcW w:type="pct" w:w="1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9</w:t>
            </w:r>
          </w:p>
        </w:tc>
        <w:tc>
          <w:tcPr>
            <w:tcW w:type="pct" w:w="1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59</w:t>
            </w:r>
          </w:p>
        </w:tc>
        <w:tc>
          <w:tcPr>
            <w:tcW w:type="pct" w:w="4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窗口内背景流量占比 &gt;98%</w:t>
            </w:r>
          </w:p>
        </w:tc>
      </w:tr>
    </w:tbl>
    <w:p>
      <w:pPr>
        <w:spacing w:after="120"/>
      </w:pPr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结论：面向攻击链行为的规则（CC 轮询、IRC C2 端口）在真实数据上精确命中感染主机；面向单流特征的规则（大流量、周期性、熵值）在背景流量为主的窗口中误报较多，定量证明了跨源事件关联的必要性——单流告警需与主机侧异常相互印证后才能定性。139,195 个会话全部合规事件化，导出 EventOut 1,215 条（主机名覆盖率 95.4%，依据官方 README 建立映射），验证了真实 Zeek 数据的完整解析与事件化能力。</w:t>
      </w:r>
    </w:p>
    <w:p>
      <w:pPr>
        <w:pStyle w:val="Heading2"/>
        <w:spacing w:after="140" w:before="300" w:line="360" w:lineRule="atLeast"/>
      </w:pPr>
      <w:bookmarkStart w:id="100009" w:name="_Toc100009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4.2 APT29 ATT&amp;CK Evaluations Day1</w:t>
      </w:r>
      <w:bookmarkEnd w:id="100009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适配改造：新增合并 JSON 流解析（每行一个 JSON、@stream 区分 conn/dns/http、下划线键名），解析器现支持三种 Zeek 形态。按契约建立 IP→主机名映射（依据 ground truth 与端口证据，未编造），APT29 事件主机名覆盖率 98.5%（657/667，其余为子网广播地址），CTU-13 覆盖率 95.4%。检出结果对照仓库公开 Sigma 规则的 19 个 ATT&amp;CK 技术标签：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333333"/>
          <w:sz w:val="21"/>
          <w:szCs w:val="21"/>
        </w:rPr>
        <w:t xml:space="preserve">表 28　APT29 检出结果（对照 Sigma 技术清单）</w:t>
      </w:r>
    </w:p>
    <w:tbl>
      <w:tblPr>
        <w:tblW w:type="pct" w:w="100%"/>
        <w:tblBorders>
          <w:top w:val="single" w:color="1B6B7A" w:sz="6"/>
          <w:left w:val="none" w:color="FFFFFF" w:sz="0"/>
          <w:bottom w:val="single" w:color="1B6B7A" w:sz="6"/>
          <w:right w:val="none" w:color="FFFFFF" w:sz="0"/>
          <w:insideH w:val="single" w:color="C8DDE2" w:sz="2"/>
          <w:insideV w:val="none" w:color="FFFFFF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4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检出</w:t>
            </w:r>
          </w:p>
        </w:tc>
        <w:tc>
          <w:tcPr>
            <w:tcW w:type="pct" w:w="12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技术</w:t>
            </w:r>
          </w:p>
        </w:tc>
        <w:tc>
          <w:tcPr>
            <w:tcW w:type="pct" w:w="54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与 ground truth 对照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48 条内网横向连接（SMB/RDP/WinRM）</w:t>
            </w:r>
          </w:p>
        </w:tc>
        <w:tc>
          <w:tcPr>
            <w:tcW w:type="pct" w:w="1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T1021</w:t>
            </w:r>
          </w:p>
        </w:tc>
        <w:tc>
          <w:tcPr>
            <w:tcW w:type="pct" w:w="5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与场景事实吻合（APT29 day1 即域内横向）；Sigma 未给网络侧 tag，属规则集覆盖差异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4 条数据外传（受害机 → 外部 C2 基础设施）</w:t>
            </w:r>
          </w:p>
        </w:tc>
        <w:tc>
          <w:tcPr>
            <w:tcW w:type="pct" w:w="1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T1048</w:t>
            </w:r>
          </w:p>
        </w:tc>
        <w:tc>
          <w:tcPr>
            <w:tcW w:type="pct" w:w="5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父技术命中 T1048.003（WebDAV 外传）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footprintdns.com 长标签 DNS 查询</w:t>
            </w:r>
          </w:p>
        </w:tc>
        <w:tc>
          <w:tcPr>
            <w:tcW w:type="pct" w:w="1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T1071.004</w:t>
            </w:r>
          </w:p>
        </w:tc>
        <w:tc>
          <w:tcPr>
            <w:tcW w:type="pct" w:w="5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GT 外发现：该域名是 APT29 真实 C2 域名，Sigma 规则集未覆盖，系统自动标记待复核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高频内网连接</w:t>
            </w:r>
          </w:p>
        </w:tc>
        <w:tc>
          <w:tcPr>
            <w:tcW w:type="pct" w:w="1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T1110</w:t>
            </w:r>
          </w:p>
        </w:tc>
        <w:tc>
          <w:tcPr>
            <w:tcW w:type="pct" w:w="5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待人工复核（可能为横向操作重试）</w:t>
            </w:r>
          </w:p>
        </w:tc>
      </w:tr>
    </w:tbl>
    <w:p>
      <w:pPr>
        <w:spacing w:after="120"/>
      </w:pPr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精确技术级交集为 0、父技术级命中 1；未命中的 15 个 ground truth 技术（注册表持久化、凭据转储、文件收集等）均为主机侧行为，落在主机日志解析模块职责范围内——该结果定量说明了题目要求主机日志 + 主机行为 + 网络流量多源融合的原因：单看网络侧无法覆盖攻击链全貌。</w:t>
      </w:r>
    </w:p>
    <w:p>
      <w:pPr>
        <w:pStyle w:val="Heading1"/>
        <w:spacing w:after="200" w:before="400" w:line="380" w:lineRule="atLeast"/>
        <w:jc w:val="center"/>
      </w:pPr>
      <w:bookmarkStart w:id="100010" w:name="_Toc100010"/>
      <w:r>
        <w:rPr>
          <w:rFonts w:ascii="Times New Roman" w:eastAsia="SimHei"/>
          <w:b/>
          <w:bCs/>
          <w:color w:val="0E4A56"/>
          <w:sz w:val="32"/>
          <w:szCs w:val="32"/>
        </w:rPr>
        <w:t xml:space="preserve">五、测试要求（二）：自建靶场完整入侵链验证</w:t>
      </w:r>
      <w:bookmarkEnd w:id="100010"/>
    </w:p>
    <w:p>
      <w:pPr>
        <w:pStyle w:val="Heading2"/>
        <w:spacing w:after="140" w:before="300" w:line="360" w:lineRule="atLeast"/>
      </w:pPr>
      <w:bookmarkStart w:id="100011" w:name="_Toc100011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5.1 靶场与攻击链</w:t>
      </w:r>
      <w:bookmarkEnd w:id="100011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E 成员在 VMware 隔离环境搭建 9 节点三网段靶场（WAN：攻击机 10.10.10.10、C2 10.10.10.20；DMZ：Web 10.10.20.10:80/8088、Email 10.10.20.20；LAN：办公 Win10 10.10.30.10、核心服务器 10.10.30.20；OPNsense 防火墙隔离三段），执行编号 CASE01-RUN-FINAL-01 的完整受控攻击链：Nmap 侦察 → ZAP 扫描与 DVWA 登录 → DVWA 命令注入获取 Web 权限 → Web 以实验账号 SSH 登录 Win10 → Win10 访问核心服务器取文件 → Win10 回连 C2 Beacon → 各节点留证。证据窗口为 2026-09-09 10:49:14 至 12:35:33（+08:00），多源证据含 4 个抓包点 PCAP、防火墙 filterlog、Linux auditd 与 auth.log、Windows EVTX。</w:t>
      </w:r>
    </w:p>
    <w:p>
      <w:pPr>
        <w:pStyle w:val="Heading2"/>
        <w:spacing w:after="140" w:before="300" w:line="360" w:lineRule="atLeast"/>
      </w:pPr>
      <w:bookmarkStart w:id="100012" w:name="_Toc100012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5.2 网络侧逐段检出结果</w:t>
      </w:r>
      <w:bookmarkEnd w:id="100012"/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333333"/>
          <w:sz w:val="21"/>
          <w:szCs w:val="21"/>
        </w:rPr>
        <w:t xml:space="preserve">表 29　靶场攻击链逐段检出评估</w:t>
      </w:r>
    </w:p>
    <w:tbl>
      <w:tblPr>
        <w:tblW w:type="pct" w:w="100%"/>
        <w:tblBorders>
          <w:top w:val="single" w:color="1B6B7A" w:sz="6"/>
          <w:left w:val="none" w:color="FFFFFF" w:sz="0"/>
          <w:bottom w:val="single" w:color="1B6B7A" w:sz="6"/>
          <w:right w:val="none" w:color="FFFFFF" w:sz="0"/>
          <w:insideH w:val="single" w:color="C8DDE2" w:sz="2"/>
          <w:insideV w:val="none" w:color="FFFFFF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4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攻击阶段</w:t>
            </w:r>
          </w:p>
        </w:tc>
        <w:tc>
          <w:tcPr>
            <w:tcW w:type="pct" w:w="26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网络侧证据</w:t>
            </w:r>
          </w:p>
        </w:tc>
        <w:tc>
          <w:tcPr>
            <w:tcW w:type="pct" w:w="50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检出情况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Nmap 扫描（对 Web 6 端口）</w:t>
            </w:r>
          </w:p>
        </w:tc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6 个端口的 SYN</w:t>
            </w:r>
          </w:p>
        </w:tc>
        <w:tc>
          <w:tcPr>
            <w:tcW w:type="pct" w:w="5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未告警——端口数低于阈值 10（阈值权衡，见 5.3）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ZAP 扫描 + DVWA 登录</w:t>
            </w:r>
          </w:p>
        </w:tc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92 个 HTTP 请求</w:t>
            </w:r>
          </w:p>
        </w:tc>
        <w:tc>
          <w:tcPr>
            <w:tcW w:type="pct" w:w="5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全部事件化（修复：8088 加入 HTTP 明文解析端口）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DVWA 命令注入</w:t>
            </w:r>
          </w:p>
        </w:tc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4 个 POST，URL 编码载荷</w:t>
            </w:r>
          </w:p>
        </w:tc>
        <w:tc>
          <w:tcPr>
            <w:tcW w:type="pct" w:w="5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4 条 Web 攻击告警（T1190）并标记疑似入侵点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Web → Win10 SSH 跳板</w:t>
            </w:r>
          </w:p>
        </w:tc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13 个 SSH 会话（DMZ→LAN）</w:t>
            </w:r>
          </w:p>
        </w:tc>
        <w:tc>
          <w:tcPr>
            <w:tcW w:type="pct" w:w="5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13 条横向移动告警（T1021）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Win10 → Core:9100 取文件</w:t>
            </w:r>
          </w:p>
        </w:tc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5 个会话</w:t>
            </w:r>
          </w:p>
        </w:tc>
        <w:tc>
          <w:tcPr>
            <w:tcW w:type="pct" w:w="5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事件化留证但无告警——9100 为自定义端口，不在远程服务端口表，留待主机侧 auditd 佐证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Win10 → C2:8080 Beacon</w:t>
            </w:r>
          </w:p>
        </w:tc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4 个会话（间隔 163s/1093s/221s 不规则）</w:t>
            </w:r>
          </w:p>
        </w:tc>
        <w:tc>
          <w:tcPr>
            <w:tcW w:type="pct" w:w="5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事件化留证，心跳规则未触发——间隔不规则（预演与正式跑混合），规则行为符合设计</w:t>
            </w:r>
          </w:p>
        </w:tc>
      </w:tr>
    </w:tbl>
    <w:p>
      <w:pPr>
        <w:spacing w:after="120"/>
      </w:pPr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防火墙 filterlog 事件化为 588 条（source=firewall），放行/拦截动作与规则号进 detail，与攻击动作时间线互相印证。全部 132 条网络事件入库后回读比对零差异，EventOut 以 batch_id=e_case01 交付关联分析。主机侧 47,195 条事件（EVTX + auditd + auth.log）全部通过 validate_events 契约预检，与网络侧同 case_id 入库，实现“命令注入 → 可疑进程 → SSH 横向 → 敏感文件访问”的跨源关联。</w:t>
      </w:r>
    </w:p>
    <w:p>
      <w:pPr>
        <w:pStyle w:val="Heading2"/>
        <w:spacing w:after="140" w:before="300" w:line="360" w:lineRule="atLeast"/>
      </w:pPr>
      <w:bookmarkStart w:id="100013" w:name="_Toc100013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5.3 调参记录</w:t>
      </w:r>
      <w:bookmarkEnd w:id="100013"/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HTTP 明文解析端口补充 8088（DVWA/Nginx 实际端口）：HTTP 请求提取 4 → 96 个。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HTTP 载荷 URL 解码后匹配：命令注入载荷为 %26%26、%2F 编码形态，解码后命中（通用修复）。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新增“命令注入链接执行脚本”特征（&amp;&amp;/||/; + 可执行脚本），修复过程中发现并纠正了一处转义字符损坏（退格字节混入正则）。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谷歌分析 utmcmd= 参数撞 Web 攻击正则：加负向断言后真实数据告警 1354 → 16。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端口扫描阈值保持 10：6 端口的低强度侦察宁可漏报，换取背景流量下零误报的稳定性。</w:t>
      </w:r>
    </w:p>
    <w:p>
      <w:pPr>
        <w:pStyle w:val="Heading1"/>
        <w:spacing w:after="200" w:before="400" w:line="380" w:lineRule="atLeast"/>
        <w:jc w:val="center"/>
      </w:pPr>
      <w:bookmarkStart w:id="100014" w:name="_Toc100014"/>
      <w:r>
        <w:rPr>
          <w:rFonts w:ascii="Times New Roman" w:eastAsia="SimHei"/>
          <w:b/>
          <w:bCs/>
          <w:color w:val="0E4A56"/>
          <w:sz w:val="32"/>
          <w:szCs w:val="32"/>
        </w:rPr>
        <w:t xml:space="preserve">六、主机日志解析专项测试</w:t>
      </w:r>
      <w:bookmarkEnd w:id="100014"/>
    </w:p>
    <w:p>
      <w:pPr>
        <w:pStyle w:val="Heading2"/>
        <w:spacing w:after="140" w:before="300" w:line="360" w:lineRule="atLeast"/>
      </w:pPr>
      <w:bookmarkStart w:id="100015" w:name="_Toc100015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6.1 自检断言清单</w:t>
      </w:r>
      <w:bookmarkEnd w:id="100015"/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333333"/>
          <w:sz w:val="21"/>
          <w:szCs w:val="21"/>
        </w:rPr>
        <w:t xml:space="preserve">表 30　verify_day1（7 项）</w:t>
      </w:r>
    </w:p>
    <w:tbl>
      <w:tblPr>
        <w:tblW w:type="pct" w:w="100%"/>
        <w:tblBorders>
          <w:top w:val="single" w:color="1B6B7A" w:sz="6"/>
          <w:left w:val="none" w:color="FFFFFF" w:sz="0"/>
          <w:bottom w:val="single" w:color="1B6B7A" w:sz="6"/>
          <w:right w:val="none" w:color="FFFFFF" w:sz="0"/>
          <w:insideH w:val="single" w:color="C8DDE2" w:sz="2"/>
          <w:insideV w:val="none" w:color="FFFFFF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断言</w:t>
            </w:r>
          </w:p>
        </w:tc>
        <w:tc>
          <w:tcPr>
            <w:tcW w:type="pct" w:w="80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契约</w:t>
            </w:r>
          </w:p>
        </w:tc>
        <w:tc>
          <w:tcPr>
            <w:tcW w:type="pct" w:w="8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19 字段、source 8 值枚举、未知字段拒绝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环境</w:t>
            </w:r>
          </w:p>
        </w:tc>
        <w:tc>
          <w:tcPr>
            <w:tcW w:type="pct" w:w="8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python-evtx/requests 可用、4 份真实样本 EVTX 就位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Windows 解析</w:t>
            </w:r>
          </w:p>
        </w:tc>
        <w:tc>
          <w:tcPr>
            <w:tcW w:type="pct" w:w="8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4624/4625/4688 字段断言：UTC+8、空 IP=null、SubStatus 译文、未开策略时 cmdline 必须为 null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Sysmon 解析</w:t>
            </w:r>
          </w:p>
        </w:tc>
        <w:tc>
          <w:tcPr>
            <w:tcW w:type="pct" w:w="8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ID 1/3/11/13：命令行与父进程、network_connection 含源端口、registry V2 键名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入库链路</w:t>
            </w:r>
          </w:p>
        </w:tc>
        <w:tc>
          <w:tcPr>
            <w:tcW w:type="pct" w:w="8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events.jsonl 产出 + 模拟后端批量 POST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产物校验</w:t>
            </w:r>
          </w:p>
        </w:tc>
        <w:tc>
          <w:tcPr>
            <w:tcW w:type="pct" w:w="8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全部输出文件逐行校验 19 键 + raw_log 必填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文档</w:t>
            </w:r>
          </w:p>
        </w:tc>
        <w:tc>
          <w:tcPr>
            <w:tcW w:type="pct" w:w="8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踩坑笔记就位</w:t>
            </w:r>
          </w:p>
        </w:tc>
      </w:tr>
    </w:tbl>
    <w:p>
      <w:pPr>
        <w:spacing w:after="120"/>
      </w:pP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333333"/>
          <w:sz w:val="21"/>
          <w:szCs w:val="21"/>
        </w:rPr>
        <w:t xml:space="preserve">表 31　verify_day2（10 项）</w:t>
      </w:r>
    </w:p>
    <w:tbl>
      <w:tblPr>
        <w:tblW w:type="pct" w:w="100%"/>
        <w:tblBorders>
          <w:top w:val="single" w:color="1B6B7A" w:sz="6"/>
          <w:left w:val="none" w:color="FFFFFF" w:sz="0"/>
          <w:bottom w:val="single" w:color="1B6B7A" w:sz="6"/>
          <w:right w:val="none" w:color="FFFFFF" w:sz="0"/>
          <w:insideH w:val="single" w:color="C8DDE2" w:sz="2"/>
          <w:insideV w:val="none" w:color="FFFFFF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断言</w:t>
            </w:r>
          </w:p>
        </w:tc>
        <w:tc>
          <w:tcPr>
            <w:tcW w:type="pct" w:w="80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契约</w:t>
            </w:r>
          </w:p>
        </w:tc>
        <w:tc>
          <w:tcPr>
            <w:tcW w:type="pct" w:w="8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EVENT_TYPES 与 V2 冻结词表 33 词逐词一致（含 log_cleared 与进程内存 2 词）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8 个新事件 ID</w:t>
            </w:r>
          </w:p>
        </w:tc>
        <w:tc>
          <w:tcPr>
            <w:tcW w:type="pct" w:w="8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logout×2/log_cleared/4720/4728/4673/7045/4698 合成 XML 逐个断言 + 老 ID 回归（含 4728 组名陷阱）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会话重建</w:t>
            </w:r>
          </w:p>
        </w:tc>
        <w:tc>
          <w:tcPr>
            <w:tcW w:type="pct" w:w="8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90 分钟会话=5400 秒、未注销标 active、孤儿注销标 no_login_record、乱序可配对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异常规则</w:t>
            </w:r>
          </w:p>
        </w:tc>
        <w:tc>
          <w:tcPr>
            <w:tcW w:type="pct" w:w="8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5 条规则精确命中 + 不误报（2 连败不标、密码错不算枚举）+ severity 取最高 + 幂等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目录导入</w:t>
            </w:r>
          </w:p>
        </w:tc>
        <w:tc>
          <w:tcPr>
            <w:tcW w:type="pct" w:w="8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坏 EVTX 只丢自己不拖垮整批、按文件统计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产物校验</w:t>
            </w:r>
          </w:p>
        </w:tc>
        <w:tc>
          <w:tcPr>
            <w:tcW w:type="pct" w:w="8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真实跑批产物逐行校验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Linux 三件套</w:t>
            </w:r>
          </w:p>
        </w:tc>
        <w:tc>
          <w:tcPr>
            <w:tcW w:type="pct" w:w="8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auth（invalid_user、+08:00）、audit 原始格式（sudo hex 解码、hex flags 判写）、解释格式（中文时间戳、SOCKADDR 解出 IP:端口）、审计序号去重</w:t>
            </w:r>
          </w:p>
        </w:tc>
      </w:tr>
    </w:tbl>
    <w:p>
      <w:pPr>
        <w:spacing w:after="120"/>
      </w:pPr>
    </w:p>
    <w:p>
      <w:pPr>
        <w:pStyle w:val="Heading2"/>
        <w:spacing w:after="140" w:before="300" w:line="360" w:lineRule="atLeast"/>
      </w:pPr>
      <w:bookmarkStart w:id="100016" w:name="_Toc100016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6.2 E 靶场主机侧整批测试</w:t>
      </w:r>
      <w:bookmarkEnd w:id="100016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以 build_e_final_batch.py 一条命令从 E-work/raw 的 9 份原始证据（Linux 侧 6 份 auditd 解释格式导出 + auth.log，Windows 侧 Security/System 两份 EVTX）构建整批标准事件：auditd 跨文件按审计序号去重、整批会话重建与异常预标记、Windows 装机默认主机名（DESKTOP-88HQCN9 等）对齐为靶机名 win10-jump，最终 47,195 条事件全部通过 C 侧 validate_events 契约预检，经一批一库流程入库（EventOut id 1–47195）。</w:t>
      </w:r>
    </w:p>
    <w:p>
      <w:pPr>
        <w:pStyle w:val="Heading1"/>
        <w:spacing w:after="200" w:before="400" w:line="380" w:lineRule="atLeast"/>
        <w:jc w:val="center"/>
      </w:pPr>
      <w:bookmarkStart w:id="100017" w:name="_Toc100017"/>
      <w:r>
        <w:rPr>
          <w:rFonts w:ascii="Times New Roman" w:eastAsia="SimHei"/>
          <w:b/>
          <w:bCs/>
          <w:color w:val="0E4A56"/>
          <w:sz w:val="32"/>
          <w:szCs w:val="32"/>
        </w:rPr>
        <w:t xml:space="preserve">七、测试结果汇总</w:t>
      </w:r>
      <w:bookmarkEnd w:id="100017"/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333333"/>
          <w:sz w:val="21"/>
          <w:szCs w:val="21"/>
        </w:rPr>
        <w:t xml:space="preserve">表 32　测试结果汇总</w:t>
      </w:r>
    </w:p>
    <w:tbl>
      <w:tblPr>
        <w:tblW w:type="pct" w:w="100%"/>
        <w:tblBorders>
          <w:top w:val="single" w:color="1B6B7A" w:sz="6"/>
          <w:left w:val="none" w:color="FFFFFF" w:sz="0"/>
          <w:bottom w:val="single" w:color="1B6B7A" w:sz="6"/>
          <w:right w:val="none" w:color="FFFFFF" w:sz="0"/>
          <w:insideH w:val="single" w:color="C8DDE2" w:sz="2"/>
          <w:insideV w:val="none" w:color="FFFFFF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测试项</w:t>
            </w:r>
          </w:p>
        </w:tc>
        <w:tc>
          <w:tcPr>
            <w:tcW w:type="pct" w:w="18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结果</w:t>
            </w:r>
          </w:p>
        </w:tc>
        <w:tc>
          <w:tcPr>
            <w:tcW w:type="pct" w:w="56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关键数字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pytest 自动化测试</w:t>
            </w:r>
          </w:p>
        </w:tc>
        <w:tc>
          <w:tcPr>
            <w:tcW w:type="pct" w:w="1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全部通过</w:t>
            </w:r>
          </w:p>
        </w:tc>
        <w:tc>
          <w:tcPr>
            <w:tcW w:type="pct" w:w="5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11 个文件 / 136 个函数 / 参数化展开 182 例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B 侧自检脚本</w:t>
            </w:r>
          </w:p>
        </w:tc>
        <w:tc>
          <w:tcPr>
            <w:tcW w:type="pct" w:w="1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全部通过</w:t>
            </w:r>
          </w:p>
        </w:tc>
        <w:tc>
          <w:tcPr>
            <w:tcW w:type="pct" w:w="5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verify_day1 7 项 + verify_day2 7 项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契约守卫</w:t>
            </w:r>
          </w:p>
        </w:tc>
        <w:tc>
          <w:tcPr>
            <w:tcW w:type="pct" w:w="1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全部通过</w:t>
            </w:r>
          </w:p>
        </w:tc>
        <w:tc>
          <w:tcPr>
            <w:tcW w:type="pct" w:w="5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5 个批次 EventOut（case01/case02/apt29_day1/ctu13_s2/e_case01）受检合规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CTU-13 实验</w:t>
            </w:r>
          </w:p>
        </w:tc>
        <w:tc>
          <w:tcPr>
            <w:tcW w:type="pct" w:w="1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通过</w:t>
            </w:r>
          </w:p>
        </w:tc>
        <w:tc>
          <w:tcPr>
            <w:tcW w:type="pct" w:w="5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139,195 会话事件化；攻击行为规则 9 TP、感染主机全部命中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APT29 实验</w:t>
            </w:r>
          </w:p>
        </w:tc>
        <w:tc>
          <w:tcPr>
            <w:tcW w:type="pct" w:w="1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通过（含 1 项 GT 外发现）</w:t>
            </w:r>
          </w:p>
        </w:tc>
        <w:tc>
          <w:tcPr>
            <w:tcW w:type="pct" w:w="5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667 条网络事件、主机名覆盖 98.5%；父技术命中 T1048.003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E 靶场网络侧</w:t>
            </w:r>
          </w:p>
        </w:tc>
        <w:tc>
          <w:tcPr>
            <w:tcW w:type="pct" w:w="1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通过</w:t>
            </w:r>
          </w:p>
        </w:tc>
        <w:tc>
          <w:tcPr>
            <w:tcW w:type="pct" w:w="5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132 + 588 条事件；初始访问/横向/入侵点直接告警；round-trip 零差异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E 靶场主机侧</w:t>
            </w:r>
          </w:p>
        </w:tc>
        <w:tc>
          <w:tcPr>
            <w:tcW w:type="pct" w:w="1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通过</w:t>
            </w:r>
          </w:p>
        </w:tc>
        <w:tc>
          <w:tcPr>
            <w:tcW w:type="pct" w:w="5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47,195 条事件全部过契约预检，跨源关联成立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LLM 分析接口</w:t>
            </w:r>
          </w:p>
        </w:tc>
        <w:tc>
          <w:tcPr>
            <w:tcW w:type="pct" w:w="1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通过</w:t>
            </w:r>
          </w:p>
        </w:tc>
        <w:tc>
          <w:tcPr>
            <w:tcW w:type="pct" w:w="5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三 Agent 报告 + 降级路径；接口恒 200</w:t>
            </w:r>
          </w:p>
        </w:tc>
      </w:tr>
    </w:tbl>
    <w:p>
      <w:pPr>
        <w:spacing w:after="120"/>
      </w:pPr>
    </w:p>
    <w:p>
      <w:pPr>
        <w:pStyle w:val="Heading1"/>
        <w:spacing w:after="200" w:before="400" w:line="380" w:lineRule="atLeast"/>
        <w:jc w:val="center"/>
      </w:pPr>
      <w:bookmarkStart w:id="100018" w:name="_Toc100018"/>
      <w:r>
        <w:rPr>
          <w:rFonts w:ascii="Times New Roman" w:eastAsia="SimHei"/>
          <w:b/>
          <w:bCs/>
          <w:color w:val="0E4A56"/>
          <w:sz w:val="32"/>
          <w:szCs w:val="32"/>
        </w:rPr>
        <w:t xml:space="preserve">八、缺陷分析与修复记录</w:t>
      </w:r>
      <w:bookmarkEnd w:id="100018"/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333333"/>
          <w:sz w:val="21"/>
          <w:szCs w:val="21"/>
        </w:rPr>
        <w:t xml:space="preserve">表 33　主要缺陷与修复</w:t>
      </w:r>
    </w:p>
    <w:tbl>
      <w:tblPr>
        <w:tblW w:type="pct" w:w="100%"/>
        <w:tblBorders>
          <w:top w:val="single" w:color="1B6B7A" w:sz="6"/>
          <w:left w:val="none" w:color="FFFFFF" w:sz="0"/>
          <w:bottom w:val="single" w:color="1B6B7A" w:sz="6"/>
          <w:right w:val="none" w:color="FFFFFF" w:sz="0"/>
          <w:insideH w:val="single" w:color="C8DDE2" w:sz="2"/>
          <w:insideV w:val="none" w:color="FFFFFF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0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缺陷</w:t>
            </w:r>
          </w:p>
        </w:tc>
        <w:tc>
          <w:tcPr>
            <w:tcW w:type="pct" w:w="34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根因</w:t>
            </w:r>
          </w:p>
        </w:tc>
        <w:tc>
          <w:tcPr>
            <w:tcW w:type="pct" w:w="36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修复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真实流量 Web 攻击误报 1354 条</w:t>
            </w:r>
          </w:p>
        </w:tc>
        <w:tc>
          <w:tcPr>
            <w:tcW w:type="pct" w:w="3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谷歌分析 utmcmd= 参数命中命令注入正则</w:t>
            </w:r>
          </w:p>
        </w:tc>
        <w:tc>
          <w:tcPr>
            <w:tcW w:type="pct" w:w="3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正则加负向断言，告警降至 16 条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DVWA 请求未被提取为 HTTP</w:t>
            </w:r>
          </w:p>
        </w:tc>
        <w:tc>
          <w:tcPr>
            <w:tcW w:type="pct" w:w="3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8088 非标准端口不在 HTTP 明文解析端口表</w:t>
            </w:r>
          </w:p>
        </w:tc>
        <w:tc>
          <w:tcPr>
            <w:tcW w:type="pct" w:w="3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HTTP_PORTS 配置化并补充 8088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URL 编码攻击载荷漏检</w:t>
            </w:r>
          </w:p>
        </w:tc>
        <w:tc>
          <w:tcPr>
            <w:tcW w:type="pct" w:w="3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特征匹配在解码前执行</w:t>
            </w:r>
          </w:p>
        </w:tc>
        <w:tc>
          <w:tcPr>
            <w:tcW w:type="pct" w:w="3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匹配前统一 unquote_plus 解码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命令注入正则失效</w:t>
            </w:r>
          </w:p>
        </w:tc>
        <w:tc>
          <w:tcPr>
            <w:tcW w:type="pct" w:w="3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退格字节混入正则源码（转义字符损坏）</w:t>
            </w:r>
          </w:p>
        </w:tc>
        <w:tc>
          <w:tcPr>
            <w:tcW w:type="pct" w:w="3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修复正则并新增“链接执行脚本”模式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EventOut 字段名违反冻结契约</w:t>
            </w:r>
          </w:p>
        </w:tc>
        <w:tc>
          <w:tcPr>
            <w:tcW w:type="pct" w:w="3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后端输出沿用旧名 event_id</w:t>
            </w:r>
          </w:p>
        </w:tc>
        <w:tc>
          <w:tcPr>
            <w:tcW w:type="pct" w:w="3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schema 增加 serialization_alias，数据库列名仅作内部细节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广播地址触发可疑端口告警</w:t>
            </w:r>
          </w:p>
        </w:tc>
        <w:tc>
          <w:tcPr>
            <w:tcW w:type="pct" w:w="3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子网广播 147.32.255.255 未过滤</w:t>
            </w:r>
          </w:p>
        </w:tc>
        <w:tc>
          <w:tcPr>
            <w:tcW w:type="pct" w:w="3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检测器增加广播/多播排除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SubStatus 码表失配</w:t>
            </w:r>
          </w:p>
        </w:tc>
        <w:tc>
          <w:tcPr>
            <w:tcW w:type="pct" w:w="3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直接 upper() 把 0x 前缀变大写</w:t>
            </w:r>
          </w:p>
        </w:tc>
        <w:tc>
          <w:tcPr>
            <w:tcW w:type="pct" w:w="3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规范化函数保 0x 小写、主体大写</w:t>
            </w:r>
          </w:p>
        </w:tc>
      </w:tr>
    </w:tbl>
    <w:p>
      <w:pPr>
        <w:spacing w:after="120"/>
      </w:pPr>
    </w:p>
    <w:p>
      <w:pPr>
        <w:pStyle w:val="Heading1"/>
        <w:spacing w:after="200" w:before="400" w:line="380" w:lineRule="atLeast"/>
        <w:jc w:val="center"/>
      </w:pPr>
      <w:bookmarkStart w:id="100019" w:name="_Toc100019"/>
      <w:r>
        <w:rPr>
          <w:rFonts w:ascii="Times New Roman" w:eastAsia="SimHei"/>
          <w:b/>
          <w:bCs/>
          <w:color w:val="0E4A56"/>
          <w:sz w:val="32"/>
          <w:szCs w:val="32"/>
        </w:rPr>
        <w:t xml:space="preserve">九、遗留问题与风险评估</w:t>
      </w:r>
      <w:bookmarkEnd w:id="100019"/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单源局限：APT29 实验 15/19 未命中技术均为主机侧行为；系统已具备多源同批入库与跨源关联能力，主机侧事件已补齐入库，但攻击链级联合评估报告待深化。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子集口径：CTU-13 受内存限制取 10 万行子集（全量 356 万行），全量评估需分批入库后进行。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Windows Sysmon 未部署：靶场 Windows 侧以审核策略事件为主，Sysmon 解析器已就绪但真实数据未采集，文件/网络类主机行为证据依赖 Linux auditd 补位。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部分攻击段仅事件化无告警：自定义端口（9100）与不规则 Beacon 间隔属于规则阈值的设计权衡，已通过多源证据关联补证。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低强度侦察漏报：6 端口扫描低于阈值 10，阈值调整需在误报与漏报间继续权衡。</w:t>
      </w:r>
    </w:p>
    <w:p>
      <w:pPr>
        <w:pStyle w:val="Heading1"/>
        <w:spacing w:after="200" w:before="400" w:line="380" w:lineRule="atLeast"/>
        <w:jc w:val="center"/>
      </w:pPr>
      <w:bookmarkStart w:id="100020" w:name="_Toc100020"/>
      <w:r>
        <w:rPr>
          <w:rFonts w:ascii="Times New Roman" w:eastAsia="SimHei"/>
          <w:b/>
          <w:bCs/>
          <w:color w:val="0E4A56"/>
          <w:sz w:val="32"/>
          <w:szCs w:val="32"/>
        </w:rPr>
        <w:t xml:space="preserve">十、测试结论</w:t>
      </w:r>
      <w:bookmarkEnd w:id="100020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系统通过了三层自动化测试（182 例 pytest、17 项模块自检、5 批契约守卫）与两类真实数据验证：在公开数据集上验证了格式兼容与规则有效性（CTU-13 感染主机攻击行为全部精确命中、APT29 父技术级命中与 GT 外发现；内存行为分析在 62,698 条 APT29 主机事件上命中可疑内存访问 1,256、lsass 凭据访问 5、反射加载 2），在 9 节点自建靶场上验证了完整入侵链的多源采集、事件化、契约入库、跨源关联与前端呈现全流程（47,195 条主机事件 + 720 条网络/防火墙事件，命令注入初始访问、SSH 横向、疑似入侵点均由规则直接告警并还原出完整攻击路径）。测试中发现的问题已全部修复并回归，遗留项均为明确的设计权衡并已列入改进方向。测试结论：系统达到题目测试要求(1)(2)的验收标准，判定为通过。</w:t>
      </w:r>
    </w:p>
    <w:sectPr>
      <w:headerReference w:type="default" r:id="rId8"/>
      <w:footerReference w:type="default" r:id="rId9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SimSun"/>
        <w:color w:val="808080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SimSun"/>
        <w:color w:val="808080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DE2" w:sz="2" w:space="4"/>
      </w:pBdr>
      <w:jc w:val="center"/>
    </w:pPr>
    <w:r>
      <w:rPr>
        <w:rFonts w:ascii="Times New Roman" w:eastAsia="SimSun"/>
        <w:color w:val="808080"/>
        <w:sz w:val="18"/>
        <w:szCs w:val="18"/>
      </w:rPr>
      <w:t xml:space="preserve">恶意攻击行为溯源分析系统 · 测试分析报告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Times New Roman" w:eastAsia="SimHei"/>
      <w:b/>
      <w:bCs/>
      <w:color w:val="0E4A5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300"/>
      <w:outlineLvl w:val="1"/>
    </w:pPr>
    <w:rPr>
      <w:rFonts w:ascii="Times New Roman" w:eastAsia="SimHei"/>
      <w:b/>
      <w:bCs/>
      <w:color w:val="0E4A56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Times New Roman" w:eastAsia="SimHei"/>
      <w:b/>
      <w:bCs/>
      <w:color w:val="222222"/>
      <w:sz w:val="28"/>
      <w:szCs w:val="28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测试分析报告</dc:title>
  <dc:creator>恶意攻击行为溯源分析系统项目组</dc:creator>
  <cp:lastModifiedBy>Un-named</cp:lastModifiedBy>
  <cp:revision>1</cp:revision>
  <dcterms:created xsi:type="dcterms:W3CDTF">2026-09-11T12:12:49.258Z</dcterms:created>
  <dcterms:modified xsi:type="dcterms:W3CDTF">2026-09-11T12:12:49.258Z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