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có thể lập hồ sơ HỢP ĐỒNG MẸ.</w:t>
      </w:r>
      <w:r>
        <w:t xml:space="preserve"> Đơn vị ký HĐ nguyên tắc (HĐNT) hoặc HĐ dài hạn (HĐDH) thì lập một </w:t>
      </w:r>
      <w:r>
        <w:rPr>
          <w:b/>
          <w:bCs/>
        </w:rPr>
        <w:t xml:space="preserve">hồ sơ hợp đồng mẹ</w:t>
      </w:r>
      <w:r>
        <w:t xml:space="preserve"> rồi nối các hợp đồng chuyến hàng vào đó — xem mục 9. Việc này </w:t>
      </w:r>
      <w:r>
        <w:rPr>
          <w:b/>
          <w:bCs/>
        </w:rPr>
        <w:t xml:space="preserve">không bắt buộc</w:t>
      </w:r>
      <w:r>
        <w:t xml:space="preserve">: không lập hồ sơ thì nhập hợp đồng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17.</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2026-08-24T08:32:19.974Z</dcterms:created>
  <dcterms:modified xsi:type="dcterms:W3CDTF">2026-08-24T08:32:19.974Z</dcterms:modified>
</cp:coreProperties>
</file>

<file path=docProps/custom.xml><?xml version="1.0" encoding="utf-8"?>
<Properties xmlns="http://schemas.openxmlformats.org/officeDocument/2006/custom-properties" xmlns:vt="http://schemas.openxmlformats.org/officeDocument/2006/docPropsVTypes"/>
</file>