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ngoài ra có mục Thống kê hợp đồng chỉ để tra cứu.</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Sáu mục trên menu (5 mục để nhập số liệu, 1 mục để tra cứu):</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Thống kê hợp đồng</w:t>
      </w:r>
      <w:r>
        <w:t xml:space="preserve"> — tra cứu lịch sử hợp đồng đã ký, </w:t>
      </w:r>
      <w:r>
        <w:rPr>
          <w:b/>
          <w:bCs/>
        </w:rPr>
        <w:t xml:space="preserve">chỉ để xem, không nhập</w:t>
      </w:r>
      <w:r>
        <w:t xml:space="preserve"> (xem mục 7).</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các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nhận PDF · Word · Excel · XML · ảnh (JPG, PNG, HEIC, WEBP, TIFF) · ZIP, tối đa 25 MB mỗi file. </w:t>
      </w:r>
      <w:r>
        <w:rPr>
          <w:b/>
          <w:bCs/>
        </w:rPr>
        <w:t xml:space="preserve">Mỗi ô chỉ chứa 1 file</w:t>
      </w:r>
      <w:r>
        <w:t xml:space="preserve">: bộ nhiều văn bản thì gộp thành 1 file PDF hoặc nén ZIP.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w:t>
      </w:r>
      <w:r>
        <w:rPr>
          <w:b/>
          <w:bCs/>
        </w:rPr>
        <w:t xml:space="preserve">phần NẰM TRONG tồn kho thành phẩm</w:t>
      </w:r>
      <w:r>
        <w:t xml:space="preserve"> đã có hợp đồng nhưng chưa giao (chỉ để biết trong tồn kho bao nhiêu đã có đầu ra, nên </w:t>
      </w:r>
      <w:r>
        <w:rPr>
          <w:b/>
          <w:bCs/>
        </w:rPr>
        <w:t xml:space="preserve">không cộng thêm</w:t>
      </w:r>
      <w:r>
        <w:t xml:space="preserve"> vào tồn kho — cộng nữa là tính trùng — và cũng </w:t>
      </w:r>
      <w:r>
        <w:rPr>
          <w:b/>
          <w:bCs/>
        </w:rPr>
        <w:t xml:space="preserve">không trừ ra</w:t>
      </w:r>
      <w:r>
        <w:t xml:space="preserve">)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Số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nhận PDF · Word · Excel · XML · ảnh (JPG, PNG, HEIC, WEBP, TIFF) · ZIP, tối đa 25 MB, </w:t>
      </w:r>
      <w:r>
        <w:rPr>
          <w:b/>
          <w:bCs/>
        </w:rPr>
        <w:t xml:space="preserve">1 file cho mỗi hợp đồng</w:t>
      </w:r>
      <w:r>
        <w:t xml:space="preserve">.</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Hợp đồng nằm ở khối 3 từ “Bắt đầu tồn kho” đến hết ngày TRƯỚC “Ngày giao”.</w:t>
      </w:r>
      <w:r>
        <w:t xml:space="preserve"> Lúc mới ký chỉ cần điền “Bắt đầu tồn kho” (để trống “Ngày giao”) — hợp đồng sẽ tự hiện ở khối 3 mọi ngày sau đó. Khi đã xuất kho thì </w:t>
      </w:r>
      <w:r>
        <w:rPr>
          <w:b/>
          <w:bCs/>
        </w:rPr>
        <w:t xml:space="preserve">chỉ cần mở ra điền “Ngày giao</w:t>
      </w:r>
      <w:r>
        <w:t xml:space="preserve">” là xong, không phải nhập lại gì nữa.</w:t>
      </w:r>
    </w:p>
    <w:p>
      <w:pPr>
        <w:pStyle w:val="ListParagraph"/>
        <w:numPr>
          <w:ilvl w:val="0"/>
          <w:numId w:val="3"/>
        </w:numPr>
        <w:spacing w:after="80"/>
      </w:pPr>
      <w:r>
        <w:rPr>
          <w:b/>
          <w:bCs/>
        </w:rPr>
        <w:t xml:space="preserve">Ngày bắt đầu phải trước “Ngày giao” (và “Lịch giao”) ít nhất 1 ngày</w:t>
      </w:r>
      <w:r>
        <w:t xml:space="preserve">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phần đã có hợp đồng nằm trong</w:t>
      </w:r>
      <w:r>
        <w:t xml:space="preserve"> tồn kho thành phẩm — không cộng thêm và không trừ ra, và </w:t>
      </w:r>
      <w:r>
        <w:rPr>
          <w:b/>
          <w:bCs/>
        </w:rPr>
        <w:t xml:space="preserve">không vượt quá</w:t>
      </w:r>
      <w:r>
        <w:t xml:space="preserve"> “Tồn kho thành phẩm”.</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Thống kê hợp đồng</w:t>
      </w:r>
    </w:p>
    <w:p>
      <w:pPr>
        <w:spacing w:after="60"/>
      </w:pPr>
      <w:r>
        <w:rPr>
          <w:b/>
          <w:bCs/>
        </w:rPr>
        <w:t xml:space="preserve">Vị trí: </w:t>
      </w:r>
      <w:r>
        <w:t xml:space="preserve">Menu → Thống kê hợp đồng</w:t>
      </w:r>
    </w:p>
    <w:p>
      <w:pPr>
        <w:spacing w:after="140"/>
      </w:pPr>
      <w:r>
        <w:t xml:space="preserve">Màn này liệt kê </w:t>
      </w:r>
      <w:r>
        <w:rPr>
          <w:b/>
          <w:bCs/>
        </w:rPr>
        <w:t xml:space="preserve">tất cả hợp đồng đã ký</w:t>
      </w:r>
      <w:r>
        <w:t xml:space="preserve"> của đơn vị, </w:t>
      </w:r>
      <w:r>
        <w:rPr>
          <w:b/>
          <w:bCs/>
        </w:rPr>
        <w:t xml:space="preserve">kể cả hợp đồng đã giao</w:t>
      </w:r>
      <w:r>
        <w:t xml:space="preserve">. Khi một hợp đồng được điền </w:t>
      </w:r>
      <w:r>
        <w:rPr>
          <w:b/>
          <w:bCs/>
        </w:rPr>
        <w:t xml:space="preserve">Ngày giao thực tế</w:t>
      </w:r>
      <w:r>
        <w:t xml:space="preserve"> ở Báo cáo tồn kho thì nó không còn nằm trong tồn kho của những ngày sau nữa — vào đây để tra cứu lại toàn bộ.</w:t>
      </w:r>
    </w:p>
    <w:p>
      <w:pPr>
        <w:spacing w:after="100"/>
      </w:pPr>
      <w:r>
        <w:t xml:space="preserve">Cách dùng:</w:t>
      </w:r>
    </w:p>
    <w:p>
      <w:pPr>
        <w:spacing w:after="80"/>
      </w:pPr>
      <w:r>
        <w:rPr>
          <w:b/>
          <w:bCs/>
        </w:rPr>
        <w:t xml:space="preserve">Các bước:</w:t>
      </w:r>
    </w:p>
    <w:p>
      <w:pPr>
        <w:pStyle w:val="ListParagraph"/>
        <w:numPr>
          <w:ilvl w:val="0"/>
          <w:numId w:val="9"/>
        </w:numPr>
        <w:spacing w:after="100"/>
      </w:pPr>
      <w:r>
        <w:t xml:space="preserve">Lọc theo </w:t>
      </w:r>
      <w:r>
        <w:rPr>
          <w:b/>
          <w:bCs/>
        </w:rPr>
        <w:t xml:space="preserve">trạng thái</w:t>
      </w:r>
      <w:r>
        <w:t xml:space="preserve"> (Tất cả / Chưa giao / Đã giao), theo </w:t>
      </w:r>
      <w:r>
        <w:rPr>
          <w:b/>
          <w:bCs/>
        </w:rPr>
        <w:t xml:space="preserve">khoảng ngày</w:t>
      </w:r>
      <w:r>
        <w:t xml:space="preserve">, hoặc gõ </w:t>
      </w:r>
      <w:r>
        <w:rPr>
          <w:b/>
          <w:bCs/>
        </w:rPr>
        <w:t xml:space="preserve">Số HĐ/PL</w:t>
      </w:r>
      <w:r>
        <w:t xml:space="preserve"> (hoặc chủng loại) vào ô tìm kiếm.</w:t>
      </w:r>
    </w:p>
    <w:p>
      <w:pPr>
        <w:pStyle w:val="ListParagraph"/>
        <w:numPr>
          <w:ilvl w:val="0"/>
          <w:numId w:val="9"/>
        </w:numPr>
        <w:spacing w:after="100"/>
      </w:pPr>
      <w:r>
        <w:t xml:space="preserve">Bảng hiện: Số HĐ/PL · chủng loại · số lượng · đơn giá · ngày bắt đầu tồn kho · lịch giao · ngày giao thực tế · trạng thái · file hợp đồng đã đính kèm.</w:t>
      </w:r>
    </w:p>
    <w:p>
      <w:pPr>
        <w:pStyle w:val="ListParagraph"/>
        <w:numPr>
          <w:ilvl w:val="0"/>
          <w:numId w:val="9"/>
        </w:numPr>
        <w:spacing w:after="100"/>
      </w:pPr>
      <w:r>
        <w:t xml:space="preserve">Dòng </w:t>
      </w:r>
      <w:r>
        <w:rPr>
          <w:b/>
          <w:bCs/>
        </w:rPr>
        <w:t xml:space="preserve">Tổng cộng</w:t>
      </w:r>
      <w:r>
        <w:t xml:space="preserve"> ở cuối bảng cộng số lượng và thành tiền của các dòng đang hiện.</w:t>
      </w:r>
    </w:p>
    <w:p>
      <w:pPr>
        <w:spacing w:after="80" w:before="140"/>
      </w:pPr>
      <w:r>
        <w:rPr>
          <w:b/>
          <w:bCs/>
        </w:rPr>
        <w:t xml:space="preserve">Lưu ý:</w:t>
      </w:r>
    </w:p>
    <w:p>
      <w:pPr>
        <w:pStyle w:val="ListParagraph"/>
        <w:numPr>
          <w:ilvl w:val="0"/>
          <w:numId w:val="3"/>
        </w:numPr>
        <w:spacing w:after="80"/>
      </w:pPr>
      <w:r>
        <w:t xml:space="preserve">Màn này </w:t>
      </w:r>
      <w:r>
        <w:rPr>
          <w:b/>
          <w:bCs/>
        </w:rPr>
        <w:t xml:space="preserve">chỉ để xem</w:t>
      </w:r>
      <w:r>
        <w:t xml:space="preserve">. Muốn sửa hợp đồng (kể cả điền Ngày giao thực tế) thì vào </w:t>
      </w:r>
      <w:r>
        <w:rPr>
          <w:b/>
          <w:bCs/>
        </w:rPr>
        <w:t xml:space="preserve">Báo cáo tồn kho</w:t>
      </w:r>
      <w:r>
        <w:t xml:space="preserve"> của đúng ngày.</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Heading2"/>
        <w:pageBreakBefore/>
      </w:pPr>
      <w:r>
        <w:t xml:space="preserve">9.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1"/>
        </w:numPr>
        <w:spacing w:after="100"/>
      </w:pPr>
      <w:r>
        <w:t xml:space="preserve">Chọn </w:t>
      </w:r>
      <w:r>
        <w:rPr>
          <w:b/>
          <w:bCs/>
        </w:rPr>
        <w:t xml:space="preserve">năm</w:t>
      </w:r>
      <w:r>
        <w:t xml:space="preserve"> cần khai.</w:t>
      </w:r>
    </w:p>
    <w:p>
      <w:pPr>
        <w:pStyle w:val="ListParagraph"/>
        <w:numPr>
          <w:ilvl w:val="0"/>
          <w:numId w:val="11"/>
        </w:numPr>
        <w:spacing w:after="100"/>
      </w:pPr>
      <w:r>
        <w:rPr>
          <w:b/>
          <w:bCs/>
        </w:rPr>
        <w:t xml:space="preserve">Kế hoạch thu mua</w:t>
      </w:r>
      <w:r>
        <w:t xml:space="preserve"> (tấn) — chỉ tiêu Tập đoàn giao hoặc kế hoạch của công ty.</w:t>
      </w:r>
    </w:p>
    <w:p>
      <w:pPr>
        <w:pStyle w:val="ListParagraph"/>
        <w:numPr>
          <w:ilvl w:val="0"/>
          <w:numId w:val="11"/>
        </w:numPr>
        <w:spacing w:after="100"/>
      </w:pPr>
      <w:r>
        <w:rPr>
          <w:b/>
          <w:bCs/>
        </w:rPr>
        <w:t xml:space="preserve">HĐ dài hạn đã ký</w:t>
      </w:r>
      <w:r>
        <w:t xml:space="preserve"> (tấn) — tổng sản lượng đã ký hợp đồng dài hạn trong năm.</w:t>
      </w:r>
    </w:p>
    <w:p>
      <w:pPr>
        <w:pStyle w:val="ListParagraph"/>
        <w:numPr>
          <w:ilvl w:val="0"/>
          <w:numId w:val="11"/>
        </w:numPr>
        <w:spacing w:after="100"/>
      </w:pPr>
      <w:r>
        <w:rPr>
          <w:b/>
          <w:bCs/>
        </w:rPr>
        <w:t xml:space="preserve">HĐ dài hạn năm trước chuyển sang</w:t>
      </w:r>
      <w:r>
        <w:t xml:space="preserve"> (tấn).</w:t>
      </w:r>
    </w:p>
    <w:p>
      <w:pPr>
        <w:pStyle w:val="ListParagraph"/>
        <w:numPr>
          <w:ilvl w:val="0"/>
          <w:numId w:val="11"/>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10. Lưu ý chung — Cách gõ số</w:t>
      </w:r>
    </w:p>
    <w:p>
      <w:pPr>
        <w:spacing w:after="60"/>
      </w:pPr>
      <w:r>
        <w:rPr>
          <w:b/>
          <w:bCs/>
        </w:rPr>
        <w:t xml:space="preserve">Vị trí: </w:t>
      </w:r>
      <w:r>
        <w:t xml:space="preserve">Áp dụng cho MỌI ô nhập số trên hệ thống</w:t>
      </w:r>
    </w:p>
    <w:p>
      <w:pPr>
        <w:spacing w:after="140"/>
      </w:pPr>
      <w:r>
        <w:t xml:space="preserve">Hệ thống dùng cách viết số của Việt Nam. Gõ đúng 2 quy tắc dưới đây là số luôn được lưu đúng.</w:t>
      </w:r>
    </w:p>
    <w:p>
      <w:pPr>
        <w:spacing w:after="100"/>
      </w:pPr>
      <w:r>
        <w:t xml:space="preserve">Hai quy tắc:</w:t>
      </w:r>
    </w:p>
    <w:p>
      <w:pPr>
        <w:spacing w:after="80"/>
      </w:pPr>
      <w:r>
        <w:rPr>
          <w:b/>
          <w:bCs/>
        </w:rPr>
        <w:t xml:space="preserve">Các bước:</w:t>
      </w:r>
    </w:p>
    <w:p>
      <w:pPr>
        <w:pStyle w:val="ListParagraph"/>
        <w:numPr>
          <w:ilvl w:val="0"/>
          <w:numId w:val="12"/>
        </w:numPr>
        <w:spacing w:after="100"/>
      </w:pPr>
      <w:r>
        <w:rPr>
          <w:b/>
          <w:bCs/>
        </w:rPr>
        <w:t xml:space="preserve">Phần thập phân dùng DẤU PHẨY</w:t>
      </w:r>
      <w:r>
        <w:t xml:space="preserve"> — ví dụ “2.238,5” là hai nghìn hai trăm ba tám phẩy năm. Đừng dùng dấu chấm cho phần thập phân.</w:t>
      </w:r>
    </w:p>
    <w:p>
      <w:pPr>
        <w:pStyle w:val="ListParagraph"/>
        <w:numPr>
          <w:ilvl w:val="0"/>
          <w:numId w:val="12"/>
        </w:numPr>
        <w:spacing w:after="100"/>
      </w:pPr>
      <w:r>
        <w:rPr>
          <w:b/>
          <w:bCs/>
        </w:rPr>
        <w:t xml:space="preserve">Dấu chấm phân cách hàng nghìn do hệ thống TỰ THÊM</w:t>
      </w:r>
      <w:r>
        <w:t xml:space="preserve"> khi gõ — chỉ cần gõ “2238”, ô nhập sẽ tự hiện thành “2.238”.</w:t>
      </w:r>
    </w:p>
    <w:p>
      <w:pPr>
        <w:spacing w:after="80" w:before="140"/>
      </w:pPr>
      <w:r>
        <w:rPr>
          <w:b/>
          <w:bCs/>
        </w:rPr>
        <w:t xml:space="preserve">Lưu ý:</w:t>
      </w:r>
    </w:p>
    <w:p>
      <w:pPr>
        <w:pStyle w:val="ListParagraph"/>
        <w:numPr>
          <w:ilvl w:val="0"/>
          <w:numId w:val="3"/>
        </w:numPr>
        <w:spacing w:after="80"/>
      </w:pPr>
      <w:r>
        <w:t xml:space="preserve">Đơn vị tính ghi ngay cạnh tên ô (tấn · triệu đ/tấn · đồng/độ TSC…) — nhập theo đúng đơn vị đó, không nhân chia thêm.</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a578bfc3934f91bdf69a5c7a0f1a64a97e78c67.png"/><Relationship Id="rId9" Type="http://schemas.openxmlformats.org/officeDocument/2006/relationships/image" Target="media/c19a9e41a6d9732a348b889743e51f2655b09cc3.png"/><Relationship Id="rId10" Type="http://schemas.openxmlformats.org/officeDocument/2006/relationships/image" Target="media/ba2fbd6aff1740b58b05d9db2ac1218b5434bb34.png"/><Relationship Id="rId11" Type="http://schemas.openxmlformats.org/officeDocument/2006/relationships/image" Target="media/9366bc2cc6238c216b8c8b87f458e7bf247b9ae0.png"/><Relationship Id="rId12" Type="http://schemas.openxmlformats.org/officeDocument/2006/relationships/image" Target="media/4fc58734f647db266ff81cc751b573aff1e88745.png"/><Relationship Id="rId13" Type="http://schemas.openxmlformats.org/officeDocument/2006/relationships/image" Target="media/180710ce49827d6a4de2b17858a3f2e11a4d12c3.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2026-07-24T05:32:47.188Z</dcterms:created>
  <dcterms:modified xsi:type="dcterms:W3CDTF">2026-07-24T05:32:47.189Z</dcterms:modified>
</cp:coreProperties>
</file>

<file path=docProps/custom.xml><?xml version="1.0" encoding="utf-8"?>
<Properties xmlns="http://schemas.openxmlformats.org/officeDocument/2006/custom-properties" xmlns:vt="http://schemas.openxmlformats.org/officeDocument/2006/docPropsVTypes"/>
</file>