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73AE7" w14:textId="61D1B905" w:rsidR="003825C2" w:rsidRPr="00C36C19" w:rsidRDefault="003825C2">
      <w:pPr>
        <w:pStyle w:val="ListParagraph"/>
        <w:numPr>
          <w:ilvl w:val="0"/>
          <w:numId w:val="2"/>
        </w:numPr>
        <w:rPr>
          <w:rFonts w:ascii="Times New Roman" w:hAnsi="Times New Roman" w:cs="Times New Roman"/>
          <w:b/>
          <w:bCs/>
          <w:color w:val="000000" w:themeColor="text1"/>
          <w:sz w:val="36"/>
          <w:szCs w:val="36"/>
        </w:rPr>
      </w:pPr>
      <w:r w:rsidRPr="00C36C19">
        <w:rPr>
          <w:rFonts w:ascii="Times New Roman" w:hAnsi="Times New Roman" w:cs="Times New Roman"/>
          <w:b/>
          <w:bCs/>
          <w:color w:val="000000" w:themeColor="text1"/>
          <w:sz w:val="36"/>
          <w:szCs w:val="36"/>
        </w:rPr>
        <w:t>Nhóm quy trình chiến lược - Công Ty TNHH SPX Express</w:t>
      </w:r>
    </w:p>
    <w:p w14:paraId="5ABF3A88" w14:textId="00D8DED3" w:rsidR="003825C2" w:rsidRPr="00C36C19" w:rsidRDefault="003825C2">
      <w:p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Nhóm quy trình chiến lược hướng đến việc xác định tầm nhìn dài hạn, tạo cơ sở cho việc quản trị tổ chức và thực thi chiến lược kinh doanh hiệu quả.</w:t>
      </w:r>
    </w:p>
    <w:p w14:paraId="7E67385B" w14:textId="52C65595" w:rsidR="00B9362F" w:rsidRPr="00C36C19" w:rsidRDefault="00504FF6">
      <w:pPr>
        <w:pStyle w:val="ListParagraph"/>
        <w:numPr>
          <w:ilvl w:val="1"/>
          <w:numId w:val="1"/>
        </w:numPr>
        <w:rPr>
          <w:rFonts w:ascii="Times New Roman" w:hAnsi="Times New Roman" w:cs="Times New Roman"/>
          <w:b/>
          <w:bCs/>
          <w:color w:val="000000" w:themeColor="text1"/>
          <w:sz w:val="28"/>
          <w:szCs w:val="28"/>
        </w:rPr>
      </w:pPr>
      <w:r w:rsidRPr="00C36C19">
        <w:rPr>
          <w:rFonts w:ascii="Times New Roman" w:hAnsi="Times New Roman" w:cs="Times New Roman"/>
          <w:b/>
          <w:bCs/>
          <w:color w:val="000000" w:themeColor="text1"/>
          <w:sz w:val="28"/>
          <w:szCs w:val="28"/>
        </w:rPr>
        <w:t xml:space="preserve"> </w:t>
      </w:r>
      <w:r w:rsidR="00E33F22" w:rsidRPr="00C36C19">
        <w:rPr>
          <w:rFonts w:ascii="Times New Roman" w:hAnsi="Times New Roman" w:cs="Times New Roman"/>
          <w:b/>
          <w:bCs/>
          <w:color w:val="000000" w:themeColor="text1"/>
          <w:sz w:val="28"/>
          <w:szCs w:val="28"/>
        </w:rPr>
        <w:t>Quy trình quy hoạch hạ tầng (Hub &amp; Node Planning)</w:t>
      </w:r>
    </w:p>
    <w:p w14:paraId="2364F773" w14:textId="1D0F5E97" w:rsidR="00B9362F" w:rsidRPr="00C36C19" w:rsidRDefault="00B9362F">
      <w:pPr>
        <w:pStyle w:val="ListParagraph"/>
        <w:numPr>
          <w:ilvl w:val="2"/>
          <w:numId w:val="1"/>
        </w:numPr>
        <w:rPr>
          <w:rFonts w:ascii="Times New Roman" w:hAnsi="Times New Roman" w:cs="Times New Roman"/>
          <w:b/>
          <w:bCs/>
          <w:color w:val="000000" w:themeColor="text1"/>
          <w:sz w:val="28"/>
          <w:szCs w:val="28"/>
        </w:rPr>
      </w:pPr>
      <w:r w:rsidRPr="00C36C19">
        <w:rPr>
          <w:rFonts w:ascii="Times New Roman" w:hAnsi="Times New Roman" w:cs="Times New Roman"/>
          <w:b/>
          <w:bCs/>
          <w:color w:val="000000" w:themeColor="text1"/>
          <w:sz w:val="28"/>
          <w:szCs w:val="28"/>
        </w:rPr>
        <w:t>Mô tả quy trình</w:t>
      </w:r>
    </w:p>
    <w:p w14:paraId="2726805C" w14:textId="5FC423D6" w:rsidR="00605AE3" w:rsidRPr="00C36C19" w:rsidRDefault="004250AC" w:rsidP="00605AE3">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Quy trình quy hoạch hạ tầng Hub &amp; Node của SPX Express là một bài toán tối ưu hóa mạng lưới logistics (Network Design &amp; Optimization) nhằm cân bằng giữa tốc độ giao hàng (Lead time) và chi phí vận hành (Unit cost).</w:t>
      </w:r>
      <w:r w:rsidR="003825C2" w:rsidRPr="00C36C19">
        <w:rPr>
          <w:rFonts w:ascii="Times New Roman" w:hAnsi="Times New Roman" w:cs="Times New Roman"/>
          <w:color w:val="000000" w:themeColor="text1"/>
          <w:sz w:val="26"/>
          <w:szCs w:val="26"/>
        </w:rPr>
        <w:t xml:space="preserve"> </w:t>
      </w:r>
      <w:r w:rsidR="00605AE3" w:rsidRPr="00C36C19">
        <w:rPr>
          <w:rFonts w:ascii="Times New Roman" w:hAnsi="Times New Roman" w:cs="Times New Roman"/>
          <w:color w:val="000000" w:themeColor="text1"/>
          <w:sz w:val="26"/>
          <w:szCs w:val="26"/>
        </w:rPr>
        <w:t>Quy trình này tuân theo 5 bước cốt lõi từ việc dự báo sản lượng đến chọn vị trí, thiết kế công suất và vận hành thực tế</w:t>
      </w:r>
      <w:r w:rsidR="005D1029" w:rsidRPr="00C36C19">
        <w:rPr>
          <w:rFonts w:ascii="Times New Roman" w:hAnsi="Times New Roman" w:cs="Times New Roman"/>
          <w:color w:val="000000" w:themeColor="text1"/>
          <w:sz w:val="26"/>
          <w:szCs w:val="26"/>
        </w:rPr>
        <w:t>:</w:t>
      </w:r>
    </w:p>
    <w:p w14:paraId="5A93E771" w14:textId="77777777" w:rsidR="005D1029" w:rsidRPr="00C36C19" w:rsidRDefault="00605AE3" w:rsidP="005D1029">
      <w:pPr>
        <w:keepNext/>
        <w:jc w:val="center"/>
        <w:rPr>
          <w:rFonts w:ascii="Times New Roman" w:hAnsi="Times New Roman" w:cs="Times New Roman"/>
          <w:color w:val="000000" w:themeColor="text1"/>
        </w:rPr>
      </w:pPr>
      <w:r w:rsidRPr="00C36C19">
        <w:rPr>
          <w:rFonts w:ascii="Times New Roman" w:hAnsi="Times New Roman" w:cs="Times New Roman"/>
          <w:noProof/>
          <w:color w:val="000000" w:themeColor="text1"/>
          <w:sz w:val="26"/>
          <w:szCs w:val="26"/>
        </w:rPr>
        <w:drawing>
          <wp:inline distT="0" distB="0" distL="0" distR="0" wp14:anchorId="2BDCB0EE" wp14:editId="56CBF5B3">
            <wp:extent cx="5943600" cy="732155"/>
            <wp:effectExtent l="0" t="0" r="0" b="0"/>
            <wp:docPr id="213427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5709" name="Picture 21342757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32155"/>
                    </a:xfrm>
                    <a:prstGeom prst="rect">
                      <a:avLst/>
                    </a:prstGeom>
                  </pic:spPr>
                </pic:pic>
              </a:graphicData>
            </a:graphic>
          </wp:inline>
        </w:drawing>
      </w:r>
    </w:p>
    <w:p w14:paraId="112E300D" w14:textId="420CE3B5" w:rsidR="00605AE3" w:rsidRPr="00C36C19" w:rsidRDefault="005D1029" w:rsidP="005D1029">
      <w:pPr>
        <w:pStyle w:val="Caption"/>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005A4025" w:rsidRPr="00C36C19">
        <w:rPr>
          <w:rFonts w:ascii="Times New Roman" w:hAnsi="Times New Roman" w:cs="Times New Roman"/>
          <w:b/>
          <w:bCs/>
          <w:noProof/>
          <w:color w:val="000000" w:themeColor="text1"/>
          <w:sz w:val="26"/>
          <w:szCs w:val="26"/>
        </w:rPr>
        <w:t>1</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.1 Quy trình quy hoạch hạ tầng</w:t>
      </w:r>
    </w:p>
    <w:p w14:paraId="58A391E0" w14:textId="77777777" w:rsidR="0081486A" w:rsidRPr="00C36C19" w:rsidRDefault="0081486A"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Mở đầu quy trình, Chuyên viên Phân tích Dữ liệu (Logistics Data Analyst) trực tiếp khai thác lịch sử đơn hàng trên sàn Shopee để dựng mô hình nhu cầu tương lai. Nhân sự này tiến hành phân tích bản đồ nhiệt (Heatmap) nhằm xác định mật độ địa lý của người bán và người mua, đồng thời thiết lập ma trận luồng hàng (OD Matrix) giữa các tỉnh thành để đo lường lượng hàng trung chuyển. Ngay sau đó, Kỹ sư Quy hoạch Mạng lưới (Network Planning Engineer) phối hợp tính toán hệ số tải cho các dịp khuyến mãi lớn (Mega Sale) nhằm xác định ngưỡng chịu tải tối đa của toàn hệ thống.</w:t>
      </w:r>
    </w:p>
    <w:p w14:paraId="131B095F" w14:textId="77777777" w:rsidR="0081486A" w:rsidRPr="00C36C19" w:rsidRDefault="0081486A"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Dựa trên số liệu dự báo, Kỹ sư Quy hoạch Mạng lưới trực tiếp thiết lập cấu trúc phân cấp mạng lưới từ điểm gửi hàng lẻ, trạm trung chuyển cho đến trung tâm phân loại tổng. Vi trí và bán kính bao phủ được quy định cụ thể: các trung tâm phân loại lớn phụ trách toàn vùng, còn các bưu cục nhỏ đảm nhận bán kính hẹp ở nội thành hoặc rộng hơn ở ngoại thành. Đồng thời, Bộ phận Điều phối Vận tải (Control Tower) tham gia ấn định các mốc giờ gom hàng cố định (Cut-off time) nhằm đảm bảo dòng hàng luân chuyển đúng lịch trình xe chạy liên tỉnh.</w:t>
      </w:r>
    </w:p>
    <w:p w14:paraId="1294C6BC" w14:textId="77777777" w:rsidR="0081486A" w:rsidRPr="00C36C19" w:rsidRDefault="00605AE3" w:rsidP="00D87AB1">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Việc quyết định tọa độ xây dựng các trung tâm phân loại và bưu cục dựa trên các mô hình toán học nhằm tối thiểu hóa tổng khoảng cách vận chuyển từ các điểm thu gom. </w:t>
      </w:r>
      <w:r w:rsidR="0081486A" w:rsidRPr="00C36C19">
        <w:rPr>
          <w:rFonts w:ascii="Times New Roman" w:hAnsi="Times New Roman" w:cs="Times New Roman"/>
          <w:color w:val="000000" w:themeColor="text1"/>
          <w:sz w:val="26"/>
          <w:szCs w:val="26"/>
        </w:rPr>
        <w:t xml:space="preserve">Ở bước này, Kỹ sư Quy hoạch Mạng lưới áp dụng mô hình toán học Trọng tâm (Center of Gravity) để tính toán tọa độ giúp tối thiểu hóa tổng khoảng cách vận chuyển. Tiếp đó, </w:t>
      </w:r>
      <w:r w:rsidR="0081486A" w:rsidRPr="00C36C19">
        <w:rPr>
          <w:rFonts w:ascii="Times New Roman" w:hAnsi="Times New Roman" w:cs="Times New Roman"/>
          <w:color w:val="000000" w:themeColor="text1"/>
          <w:sz w:val="26"/>
          <w:szCs w:val="26"/>
        </w:rPr>
        <w:lastRenderedPageBreak/>
        <w:t>Chuyên viên Phát triển Mặt bằng (Real Estate Specialist) trực tiếp khảo sát thực địa, chọn các vị trí gần trục đường lớn cho trung tâm phân loại hoặc đường nhánh cho bưu cục nhỏ, đồng thời chịu trách nhiệm đàm phán hợp đồng thuê mặt bằng và hoàn tất thủ tục pháp lý, PCCC với cơ quan chức năng.</w:t>
      </w:r>
    </w:p>
    <w:p w14:paraId="27A288A7" w14:textId="77777777" w:rsidR="0081486A" w:rsidRPr="00C36C19" w:rsidRDefault="0081486A" w:rsidP="00605AE3">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Sau khi chốt địa điểm, Kỹ sư Thiết kế Băng chuyền &amp; Kho bãi (Industrial/Automation Engineer) bắt tay vào thiết kế sơ đồ mặt bằng (Layout) và bố trí máy móc bên trong. Đối với trung tâm phân loại lớn, kỹ sư sẽ quy hoạch phân tách riêng biệt các cửa dỡ/chất hàng (Dock doors), lắp đặt băng chuyền chia chọn tự động, máy quét mã vạch DWS và robot AGV. Ngược lại, tại các bưu cục nhỏ, kỹ sư thiết kế không gian tinh gọn với giá kệ chia ô, bố trí khu vực đỗ xe cho đội ngũ giao hàng và bàn giao máy quét cầm tay cho Quản lý Bưu cục (Station Manager).</w:t>
      </w:r>
    </w:p>
    <w:p w14:paraId="6FBA1760" w14:textId="418C6F17" w:rsidR="00605AE3" w:rsidRPr="00C36C19" w:rsidRDefault="0081486A" w:rsidP="0081486A">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Khi hệ thống đi vào hoạt động, Quản lý Trung tâm Phân loại (SOC Hub Manager) và Bộ phận Điều phối Vận tải trực tiếp theo dõi các chỉ số thực tế như thời gian lưu kho và tỷ lệ lấp đầy xe. Nếu xảy ra quá tải mùa cao điểm, thuật toán điều hướng tự động sẽ phân luồng hàng sang kho lân cận. Song song đó, Chủ điểm gửi hàng Ủy quyền (SPX Drop-off Partner) trực tiếp tiếp nhận hàng lẻ tại các cửa hàng liên kết, giúp SPX linh hoạt mở rộng mạng lưới thu gom chặng đầu mà không tốn chi phí đầu tư hạ tầng cố định.</w:t>
      </w:r>
    </w:p>
    <w:p w14:paraId="458D1B42" w14:textId="46159F99" w:rsidR="00605AE3" w:rsidRPr="00C36C19" w:rsidRDefault="00605AE3">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084BA170" w14:textId="587D01C7" w:rsidR="00103264" w:rsidRPr="00C36C19" w:rsidRDefault="00605AE3" w:rsidP="00605AE3">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Các tác nhân tham gia quy trình</w:t>
      </w:r>
    </w:p>
    <w:p w14:paraId="75C0356B" w14:textId="77777777" w:rsidR="00103264" w:rsidRPr="00C36C19" w:rsidRDefault="00103264">
      <w:pPr>
        <w:numPr>
          <w:ilvl w:val="0"/>
          <w:numId w:val="3"/>
        </w:numPr>
        <w:spacing w:line="240" w:lineRule="auto"/>
        <w:textAlignment w:val="center"/>
        <w:rPr>
          <w:rFonts w:ascii="Times New Roman" w:eastAsia="Times New Roman" w:hAnsi="Times New Roman" w:cs="Times New Roman"/>
          <w:kern w:val="0"/>
          <w:sz w:val="22"/>
          <w:szCs w:val="22"/>
          <w14:ligatures w14:val="none"/>
        </w:rPr>
      </w:pPr>
      <w:r w:rsidRPr="00C36C19">
        <w:rPr>
          <w:rFonts w:ascii="Times New Roman" w:eastAsia="Times New Roman" w:hAnsi="Times New Roman" w:cs="Times New Roman"/>
          <w:color w:val="000000"/>
          <w:kern w:val="0"/>
          <w:sz w:val="26"/>
          <w:szCs w:val="26"/>
          <w14:ligatures w14:val="none"/>
        </w:rPr>
        <w:t>Kỹ sư Quy hoạch Mạng lưới (Network Planning Engineer): Trực tiếp chạy mô hình toán học (Center of Gravity), tính ma trận luồng hàng, xác định vị trí đặt Hub và quy định bán kính bao phủ của từng bưu cục. </w:t>
      </w:r>
    </w:p>
    <w:p w14:paraId="55DFC247" w14:textId="4BBA6FD2"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Chuyên viên Phân tích Dữ liệu (Logistics Data Analyst): Trực tiếp xử lý dữ liệu đơn hàng Shopee, vẽ bản đồ nhiệt (Heatmap) và tính toán hệ số tải cho mùa cao điểm. </w:t>
      </w:r>
    </w:p>
    <w:p w14:paraId="5539C42C" w14:textId="27C88112"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Chuyên viên Phát triển Mặt bằng (Real Estate Specialist): Trực tiếp đi khảo sát thực địa, đàm phán hợp đồng thuê kho/đất và làm việc về thủ tục pháp lý/PCCC cho các Mega SOC và Station.</w:t>
      </w:r>
    </w:p>
    <w:p w14:paraId="6F343BC2" w14:textId="46EA2A2E"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Kỹ sư Thiết kế Băng chuyền &amp; Kho bãi (Industrial / Automation Engineer): Trực tiếp thiết kế sơ đồ mặt bằng (Layout), bố trí cửa nhập/xuất (Dock doors) và lắp đặt hệ thống chia chọn tự động (Cross-belt, Robot AGV) cho kho.</w:t>
      </w:r>
    </w:p>
    <w:p w14:paraId="465D97BD" w14:textId="291C4573"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Quản lý Trung tâm Phân loại (SOC Hub Manager): Trực tiếp điều hành kho tổng, kiểm soát thời gian lưu kho (Dwell time) và đo lường năng lực xử lý thực tế của máy móc. </w:t>
      </w:r>
    </w:p>
    <w:p w14:paraId="6299F0B4" w14:textId="0DEB10CD"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lastRenderedPageBreak/>
        <w:t>Bộ phận Điều phối Vận tải (Transport Control Tower): Trực tiếp theo dõi lịch trình xe chạy (Line-haul), điều phối xe tải container và giám sát tỷ lệ lấp đầy thùng xe (Truckload fill rate). </w:t>
      </w:r>
    </w:p>
    <w:p w14:paraId="2C38F6D4" w14:textId="4E4DCE5C"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Quản lý Bưu cục (Station Manager): Trực tiếp quản lý diện tích bưu cục phát, phân tuyến giao hàng cho Shipper và phản hồi về tình trạng quá tải tại địa bàn.</w:t>
      </w:r>
    </w:p>
    <w:p w14:paraId="742F172D" w14:textId="6767FDAA" w:rsidR="00103264" w:rsidRPr="00C36C19" w:rsidRDefault="00103264">
      <w:pPr>
        <w:pStyle w:val="ListParagraph"/>
        <w:numPr>
          <w:ilvl w:val="0"/>
          <w:numId w:val="3"/>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Chủ điểm gửi hàng Ủy quyền (SPX Drop-off Partner): Trực tiếp cung cấp mặt bằng và tiếp nhận hàng lẻ trong mô hình </w:t>
      </w:r>
      <w:r w:rsidRPr="00C36C19">
        <w:rPr>
          <w:rFonts w:ascii="Times New Roman" w:hAnsi="Times New Roman" w:cs="Times New Roman"/>
          <w:i/>
          <w:iCs/>
          <w:color w:val="000000" w:themeColor="text1"/>
          <w:sz w:val="26"/>
          <w:szCs w:val="26"/>
        </w:rPr>
        <w:t>Hybrid Node</w:t>
      </w:r>
      <w:r w:rsidRPr="00C36C19">
        <w:rPr>
          <w:rFonts w:ascii="Times New Roman" w:hAnsi="Times New Roman" w:cs="Times New Roman"/>
          <w:color w:val="000000" w:themeColor="text1"/>
          <w:sz w:val="26"/>
          <w:szCs w:val="26"/>
        </w:rPr>
        <w:t>, giúp mở rộng điểm gom hàng chặng đầu mà không cần xây dựng bưu cục mới.</w:t>
      </w:r>
    </w:p>
    <w:p w14:paraId="52F87CBF" w14:textId="7747472D" w:rsidR="00605AE3" w:rsidRPr="00C36C19" w:rsidRDefault="00605AE3" w:rsidP="00605AE3">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Khách hàng của quy trình này:</w:t>
      </w:r>
    </w:p>
    <w:p w14:paraId="2838E57B" w14:textId="77777777" w:rsidR="0081486A" w:rsidRPr="00C36C19" w:rsidRDefault="0081486A">
      <w:pPr>
        <w:pStyle w:val="ListParagraph"/>
        <w:numPr>
          <w:ilvl w:val="0"/>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Khách hàng nội bộ</w:t>
      </w:r>
    </w:p>
    <w:p w14:paraId="494E8916" w14:textId="2CDCA87F"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Bộ phận Vận hành Trực tiếp (Operations Team):</w:t>
      </w:r>
    </w:p>
    <w:p w14:paraId="64EDF146"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Vận hành Kho/SOC (Hub Ops): Nhận một mặt bằng kho đã được thiết kế sẵn layout, lắp đặt băng chuyền tự động để tiến hành phân loại hàng hóa.</w:t>
      </w:r>
    </w:p>
    <w:p w14:paraId="174DF3EE"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Vận tải Chặng giữa (Line-haul Team): Nhận danh sách các Hub và lịch trình giờ gom hàng (Cut-off time) cố định để điều phối xe container/xe tải chạy liên tỉnh.</w:t>
      </w:r>
    </w:p>
    <w:p w14:paraId="2493C1B6" w14:textId="77777777" w:rsidR="0081486A" w:rsidRPr="00C36C19" w:rsidRDefault="0081486A">
      <w:pPr>
        <w:pStyle w:val="ListParagraph"/>
        <w:numPr>
          <w:ilvl w:val="2"/>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Đội ngũ Giao hàng Chặng cuối (Last-mile / Station Managers &amp; Shippers): Nhận danh sách bưu cục mới và tuyến bản đồ chia sẵn theo bán kính 3–5 km để thực hiện giao/nhận hàng.</w:t>
      </w:r>
    </w:p>
    <w:p w14:paraId="537B2B33" w14:textId="17115574"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Khối Thương mại &amp; Chính sách Giá (Commercial &amp; Pricing Team): Nhận thông số chi phí xử lý đơn hàng (Unit Cost) sau quy hoạch để xây dựng bảng giá cước cạnh tranh.</w:t>
      </w:r>
    </w:p>
    <w:p w14:paraId="37351354" w14:textId="13D8B450"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Ban Giám đốc &amp; Khối Tài chính (Executive Leadership &amp; Finance): Nhận báo cáo cân đối giữa chi phí đầu tư hạ tầng (Capex/Opex) và hiệu quả vận hành (ROI) để phê duyệt ngân sách.</w:t>
      </w:r>
    </w:p>
    <w:p w14:paraId="2E2DE219" w14:textId="77777777" w:rsidR="0081486A" w:rsidRPr="00C36C19" w:rsidRDefault="0081486A">
      <w:pPr>
        <w:pStyle w:val="ListParagraph"/>
        <w:numPr>
          <w:ilvl w:val="0"/>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 xml:space="preserve">Khách hàng bên ngoài </w:t>
      </w:r>
    </w:p>
    <w:p w14:paraId="5A532C79" w14:textId="156A683E"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Người bán hàng trên Shopee (Sellers): Thụ hưởng kết quả quy hoạch thông qua việc có điểm gửi hàng (Drop-off Point / Station) gần kho của họ, và hàng hóa không bị trễ/tắc nghẽn vào mùa Mega Sale.</w:t>
      </w:r>
    </w:p>
    <w:p w14:paraId="35E559DE" w14:textId="7FE259E6"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Người mua hàng (Buyers): Thụ hưởng kết quả thông qua thời gian nhận hàng (Transit time) ngắn hơn và cước phí vận chuyển hợp lý hơn.</w:t>
      </w:r>
    </w:p>
    <w:p w14:paraId="0F230725" w14:textId="3AB56FE4" w:rsidR="0081486A" w:rsidRPr="00C36C19" w:rsidRDefault="0081486A">
      <w:pPr>
        <w:pStyle w:val="ListParagraph"/>
        <w:numPr>
          <w:ilvl w:val="1"/>
          <w:numId w:val="4"/>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Sàn Thương mại Điện tử Shopee: Thụ hưởng một hệ thống giao vận ổn định, chịu tải tốt, giúp bảo vệ uy tín và trải nghiệm mua sắm chung trên toàn hệ sinh thái.</w:t>
      </w:r>
    </w:p>
    <w:p w14:paraId="74EE4E33" w14:textId="186C7626" w:rsidR="00B9362F" w:rsidRPr="00C36C19" w:rsidRDefault="00605AE3" w:rsidP="004250AC">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lastRenderedPageBreak/>
        <w:t>Giá trị mà quy trình mang lại:</w:t>
      </w:r>
    </w:p>
    <w:p w14:paraId="43A16AF8" w14:textId="6420B014"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Tối ưu chi phí: Giảm chi phí phân loại trên từng đơn nhờ tự động hóa; giảm chi phí vận chuyển nhờ nâng cao tỷ lệ lấp đầy thùng xe; tiết kiệm vốn đầu tư (Capex) nhờ mô hình điểm gửi hàng nhượng quyền.</w:t>
      </w:r>
    </w:p>
    <w:p w14:paraId="436D17C4" w14:textId="202C0F3A"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Nâng cao năng lực vận hành: Rút ngắn thời gian giao hàng nhờ phân cấp bán kính phục vụ hợp lý; chống quá tải mùa Mega Sale nhờ tính năng tuyển tuyến động; giảm tối đa tỷ lệ thất lạc/chia sai tuyến.</w:t>
      </w:r>
    </w:p>
    <w:p w14:paraId="5953F1A0" w14:textId="4B358222" w:rsidR="00ED17C0" w:rsidRPr="00C36C19" w:rsidRDefault="00ED17C0">
      <w:pPr>
        <w:pStyle w:val="ListParagraph"/>
        <w:numPr>
          <w:ilvl w:val="0"/>
          <w:numId w:val="5"/>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Tăng sức cạnh tranh hệ sinh thái: Giúp Người bán gửi hàng tiện lợi hơn; giúp Người mua nhận hàng nhanh hơn với cước phí rẻ hơn; tạo lợi thế quy mô bền vững cho SPX Express và sàn Shopee.</w:t>
      </w:r>
    </w:p>
    <w:p w14:paraId="4AC542E2" w14:textId="3BAA1399" w:rsidR="003825C2" w:rsidRPr="00C36C19" w:rsidRDefault="00605AE3" w:rsidP="004250AC">
      <w:pPr>
        <w:rPr>
          <w:rFonts w:ascii="Times New Roman" w:hAnsi="Times New Roman" w:cs="Times New Roman"/>
          <w:b/>
          <w:bCs/>
          <w:i/>
          <w:iCs/>
          <w:color w:val="000000" w:themeColor="text1"/>
          <w:sz w:val="26"/>
          <w:szCs w:val="26"/>
        </w:rPr>
      </w:pPr>
      <w:r w:rsidRPr="00C36C19">
        <w:rPr>
          <w:rFonts w:ascii="Times New Roman" w:hAnsi="Times New Roman" w:cs="Times New Roman"/>
          <w:b/>
          <w:bCs/>
          <w:i/>
          <w:iCs/>
          <w:color w:val="000000" w:themeColor="text1"/>
          <w:sz w:val="26"/>
          <w:szCs w:val="26"/>
        </w:rPr>
        <w:t>Những kết quả có thể đạt được của quy trình</w:t>
      </w:r>
      <w:r w:rsidR="00FF6DF6" w:rsidRPr="00C36C19">
        <w:rPr>
          <w:rFonts w:ascii="Times New Roman" w:hAnsi="Times New Roman" w:cs="Times New Roman"/>
          <w:b/>
          <w:bCs/>
          <w:i/>
          <w:iCs/>
          <w:color w:val="000000" w:themeColor="text1"/>
          <w:sz w:val="26"/>
          <w:szCs w:val="26"/>
        </w:rPr>
        <w:t>:</w:t>
      </w:r>
    </w:p>
    <w:p w14:paraId="25EFB6B7" w14:textId="39238055"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Tối ưu chi phí: Giảm cước phí xử lý/đơn nhờ tăng tỷ lệ lấp đầy xe và tiết kiệm vốn đầu tư (Capex) qua mô hình nhượng quyền.</w:t>
      </w:r>
    </w:p>
    <w:p w14:paraId="7D1D4D34" w14:textId="6D3A5C16"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Tốc độ &amp; SLA: Rút ngắn thời gian giao hàng (Lead time) nhờ phân cấp bán kính bưu cục hợp lý và giữ đúng lịch xe chạy.</w:t>
      </w:r>
    </w:p>
    <w:p w14:paraId="56DA32A4" w14:textId="66F00047"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Chịu tải tốt: Chống "vỡ trận" mùa Sale lớn nhờ thuật toán tự động phân luồng và tuyển tuyến động sang kho phụ.</w:t>
      </w:r>
    </w:p>
    <w:p w14:paraId="6D3ED1BC" w14:textId="0BD594A6"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Độ chính xác cao: Giảm tối đa tỷ lệ thất lạc, hư hỏng và chia sai tuyến nhờ tự động hóa.</w:t>
      </w:r>
    </w:p>
    <w:p w14:paraId="6123B415" w14:textId="54441B59"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Lãng phí chi phí: Chi phí vận tải tăng vọt do chọn sai vị trí kho; lãng phí vốn đầu tư do quy hoạch thừa công suất.</w:t>
      </w:r>
    </w:p>
    <w:p w14:paraId="3D589CE5" w14:textId="434D9C9E"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Tắc nghẽn mạng lưới (Bottleneck): Hàng triệu đơn bị ứ đọng tại Hub chính do quy hoạch năng lực xử lý thấp hơn sản lượng thực tế.</w:t>
      </w:r>
    </w:p>
    <w:p w14:paraId="748AC880" w14:textId="06387525"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Quá tải chặng cuối: Bưu cục quá rộng hoặc quá ít khiến Shipper bị quá tải, trễ SLA và tăng tỷ lệ hủy/trả hàng.</w:t>
      </w:r>
    </w:p>
    <w:p w14:paraId="72F052E8" w14:textId="0B3ABFB4" w:rsidR="00884D6E" w:rsidRPr="00C36C19" w:rsidRDefault="00884D6E">
      <w:pPr>
        <w:pStyle w:val="ListParagraph"/>
        <w:numPr>
          <w:ilvl w:val="0"/>
          <w:numId w:val="6"/>
        </w:numPr>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Xung đột &amp; Dễ sụp đổ: Các điểm nhượng quyền tranh giành địa bàn do chia khoảng cách quá gần; hệ thống đóng băng khi 1 Hub gặp sự cố vì thiếu tuyến dự phòng.</w:t>
      </w:r>
    </w:p>
    <w:p w14:paraId="5BA95D3E" w14:textId="1CDEF01E" w:rsidR="00FF6DF6" w:rsidRPr="00C36C19" w:rsidRDefault="00FF6D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4FE6EFB6" w14:textId="72B35DF6"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3F7FACE3" w14:textId="31E56244"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7DE12EAC" w14:textId="2BE587A9" w:rsidR="00FF6DF6" w:rsidRPr="00C36C19" w:rsidRDefault="00FF6D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46A3F18E" w14:textId="26753DDB"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0408CBCB" w14:textId="4CCA45C2" w:rsidR="00FF6DF6" w:rsidRPr="00C36C19" w:rsidRDefault="00FF6D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p w14:paraId="07FE10CB" w14:textId="71C343CC" w:rsidR="00504FF6" w:rsidRPr="00C36C19" w:rsidRDefault="00504FF6">
      <w:pPr>
        <w:pStyle w:val="ListParagraph"/>
        <w:numPr>
          <w:ilvl w:val="1"/>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Quy trình Quản lý Đối tác Nhượng quyền (Franchise &amp; Drop-off Point)</w:t>
      </w:r>
    </w:p>
    <w:p w14:paraId="65B76EDC" w14:textId="6B3FF88D"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lastRenderedPageBreak/>
        <w:t>Mô tả quy trình</w:t>
      </w:r>
    </w:p>
    <w:p w14:paraId="1F5F715D" w14:textId="5EF818B4" w:rsidR="00C36C19" w:rsidRPr="00C36C19" w:rsidRDefault="00C36C19" w:rsidP="00C36C19">
      <w:pPr>
        <w:ind w:firstLine="720"/>
        <w:rPr>
          <w:rFonts w:ascii="Times New Roman" w:hAnsi="Times New Roman" w:cs="Times New Roman"/>
          <w:color w:val="000000" w:themeColor="text1"/>
          <w:sz w:val="26"/>
          <w:szCs w:val="26"/>
        </w:rPr>
      </w:pPr>
      <w:r w:rsidRPr="00C36C19">
        <w:rPr>
          <w:rFonts w:ascii="Times New Roman" w:hAnsi="Times New Roman" w:cs="Times New Roman"/>
          <w:color w:val="000000" w:themeColor="text1"/>
          <w:sz w:val="26"/>
          <w:szCs w:val="26"/>
        </w:rPr>
        <w:t>Chiến lược nhượng quyền điểm gửi hàng được SPX Express triển khai nhằm tận dụng nguồn lực mặt bằng và nhân sự có sẵn từ các hộ kinh doanh cá thể hay đại lý dịch vụ. Quy trình quản lý đối tác này được thực hiện chặt chẽ qua bốn bước:</w:t>
      </w:r>
    </w:p>
    <w:p w14:paraId="05D754E4" w14:textId="77777777" w:rsidR="00497F52" w:rsidRPr="00C36C19" w:rsidRDefault="00497F52" w:rsidP="008D724B">
      <w:pPr>
        <w:keepNext/>
        <w:jc w:val="center"/>
        <w:rPr>
          <w:rFonts w:ascii="Times New Roman" w:hAnsi="Times New Roman" w:cs="Times New Roman"/>
        </w:rPr>
      </w:pPr>
      <w:r w:rsidRPr="00C36C19">
        <w:rPr>
          <w:rFonts w:ascii="Times New Roman" w:hAnsi="Times New Roman" w:cs="Times New Roman"/>
          <w:b/>
          <w:bCs/>
          <w:noProof/>
          <w:color w:val="000000" w:themeColor="text1"/>
          <w:sz w:val="26"/>
          <w:szCs w:val="26"/>
        </w:rPr>
        <w:drawing>
          <wp:inline distT="0" distB="0" distL="0" distR="0" wp14:anchorId="27768C06" wp14:editId="2328297A">
            <wp:extent cx="5943600" cy="742950"/>
            <wp:effectExtent l="0" t="0" r="0" b="0"/>
            <wp:docPr id="10028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3158" name="Picture 100287315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742950"/>
                    </a:xfrm>
                    <a:prstGeom prst="rect">
                      <a:avLst/>
                    </a:prstGeom>
                  </pic:spPr>
                </pic:pic>
              </a:graphicData>
            </a:graphic>
          </wp:inline>
        </w:drawing>
      </w:r>
    </w:p>
    <w:p w14:paraId="5AEC3F73" w14:textId="3F8A03A3" w:rsidR="00497F52" w:rsidRPr="00C36C19" w:rsidRDefault="00497F52" w:rsidP="00497F52">
      <w:pPr>
        <w:pStyle w:val="Caption"/>
        <w:ind w:firstLine="720"/>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005A4025" w:rsidRPr="00C36C19">
        <w:rPr>
          <w:rFonts w:ascii="Times New Roman" w:hAnsi="Times New Roman" w:cs="Times New Roman"/>
          <w:b/>
          <w:bCs/>
          <w:noProof/>
          <w:color w:val="000000" w:themeColor="text1"/>
          <w:sz w:val="26"/>
          <w:szCs w:val="26"/>
        </w:rPr>
        <w:t>2</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.1 Quy trình Quản lý Đối tác Nhượng quyền</w:t>
      </w:r>
    </w:p>
    <w:p w14:paraId="4AED3A73" w14:textId="6ED8968B"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Mở đầu quy trình là khâu tuyển chọn và thẩm định tiêu chuẩn đầu vào. Ở giai đoạn này, SPX đưa ra các tiêu chí rõ ràng về mặt bằng như phải nằm ở vị trí mặt tiền, diện tích đạt chuẩn tối thiểu và đường đủ rộng cho xe tải nhẹ đỗ bốc dỡ hàng. Về mặt kỹ thuật, điểm gửi hàng bắt buộc trang bị đầy đủ máy in đơn, cân điện tử chuẩn xác, hệ thống camera quan sát 24/7 cùng kết nối mạng ổn định. Sau khi đáp ứng các tiêu chuẩn trên, hai bên sẽ tiến hành ký kết hợp đồng đại lý và đối tác phải hoàn tất khoản tiền ký quỹ bảo đảm nghĩa vụ.</w:t>
      </w:r>
    </w:p>
    <w:p w14:paraId="2C41732E" w14:textId="06143495"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Tiếp theo là bước tích hợp hệ thống và đào tạo nghiệp vụ. Đối tác được hướng dẫn cài đặt phần mềm quản lý bưu cục của SPX nhằm kết nối dữ liệu trực tiếp với hệ thống đơn hàng Shopee. Đồng thời, nhân sự tại điểm gửi hàng sẽ được đào tạo bài bản các thao tác vận hành gồm: tiếp nhận hàng từ người bán, quét mã vạch nhập kho, đóng bao niêm phong và bàn giao chính xác cho tài xế trung chuyển.</w:t>
      </w:r>
    </w:p>
    <w:p w14:paraId="3DA6E594" w14:textId="5031E2C3"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Giai đoạn thứ ba tập trung vào cơ chế đơn giá và tài chính. Thu nhập của đối tác được tính theo mô hình sản lượng, trong đó đại lý hưởng mức hoa hồng cố định trên từng kiện hàng tiếp nhận thành công. Vào các đợt cao điểm mua sắm (Mega Sale), SPX áp dụng thêm các chính sách thưởng doanh số nhằm khuyến khích điểm gửi hàng mở cửa tăng giờ và mở rộng sức chứa lưu kho tạm thời.</w:t>
      </w:r>
    </w:p>
    <w:p w14:paraId="2552641D" w14:textId="46C22101" w:rsidR="00C36C19" w:rsidRPr="00C36C19" w:rsidRDefault="00C36C19" w:rsidP="00C36C19">
      <w:pPr>
        <w:ind w:firstLine="720"/>
        <w:rPr>
          <w:rFonts w:ascii="Times New Roman" w:hAnsi="Times New Roman" w:cs="Times New Roman"/>
          <w:sz w:val="26"/>
          <w:szCs w:val="26"/>
        </w:rPr>
      </w:pPr>
      <w:r w:rsidRPr="00C36C19">
        <w:rPr>
          <w:rFonts w:ascii="Times New Roman" w:hAnsi="Times New Roman" w:cs="Times New Roman"/>
          <w:sz w:val="26"/>
          <w:szCs w:val="26"/>
        </w:rPr>
        <w:t>Cuối cùng là khâu kiểm soát chất lượng và đánh giá vận hành. SPX duy trì giám sát định kỳ thông qua các chỉ số cam kết chất lượng dịch vụ (SLA) cốt lõi như: tốc độ quét nhận hàng từ người bán, tỷ lệ bàn giao đúng giờ cho xe trung chuyển và kiểm soát tỷ lệ thất thoát, hư hỏng ở mức tối thiểu. Hệ thống sẽ tự động xếp hạng đại lý theo định kỳ; những điểm vi phạm quy trình hoặc phát sinh tỷ lệ thất thoát cao sẽ đối mặt với các hình thức xử lý như trừ tiền ký quỹ hoặc chấm dứt hợp đồng hợp tác.</w:t>
      </w:r>
    </w:p>
    <w:p w14:paraId="7D0BAFBD" w14:textId="3BF2BD80" w:rsidR="00504FF6"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2B8FF502"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lastRenderedPageBreak/>
        <w:t>Các tác nhân tham gia quy trình</w:t>
      </w:r>
    </w:p>
    <w:p w14:paraId="1A5CA5E4" w14:textId="71E6EF60"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thẩm định &amp; hợp tác: Đánh giá mặt bằng, kiểm tra thiết bị, ký kết hợp đồng và thu tiền ký quỹ của đối tác.</w:t>
      </w:r>
    </w:p>
    <w:p w14:paraId="6F54EA5A" w14:textId="0DE48334"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đào tạo &amp; kỹ thuật: Hướng dẫn cài đặt phần mềm quản lý bưu cục, kết nối dữ liệu Shopee và đào tạo nghiệp vụ vận hành.</w:t>
      </w:r>
    </w:p>
    <w:p w14:paraId="27AF6653" w14:textId="1F414E75"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Tài xế trung chuyển: Trực tiếp đến điểm gửi hàng để tiếp nhận các bao hàng đã niêm phong và vận chuyển về kho trung chuyển.</w:t>
      </w:r>
    </w:p>
    <w:p w14:paraId="0EF539B9" w14:textId="173BB55A" w:rsidR="00572060" w:rsidRPr="00572060" w:rsidRDefault="00572060">
      <w:pPr>
        <w:pStyle w:val="ListParagraph"/>
        <w:numPr>
          <w:ilvl w:val="0"/>
          <w:numId w:val="6"/>
        </w:numPr>
        <w:rPr>
          <w:rFonts w:ascii="Times New Roman" w:eastAsia="Times New Roman" w:hAnsi="Times New Roman" w:cs="Times New Roman"/>
          <w:kern w:val="0"/>
          <w:sz w:val="26"/>
          <w:szCs w:val="26"/>
          <w14:ligatures w14:val="none"/>
        </w:rPr>
      </w:pPr>
      <w:r w:rsidRPr="00572060">
        <w:rPr>
          <w:rFonts w:ascii="Times New Roman" w:eastAsia="Times New Roman" w:hAnsi="Times New Roman" w:cs="Times New Roman"/>
          <w:kern w:val="0"/>
          <w:sz w:val="26"/>
          <w:szCs w:val="26"/>
          <w14:ligatures w14:val="none"/>
        </w:rPr>
        <w:t>Bộ phận quản lý chất lượng (Hệ thống SPX): Theo dõi chỉ số SLA (tốc độ quét, tỷ lệ đúng giờ, tỷ lệ thất thoát), xếp hạng đại lý và thực hiện các chế tài tài chính/hợp đồng.</w:t>
      </w:r>
    </w:p>
    <w:p w14:paraId="285AB08F" w14:textId="77D6A3CA" w:rsidR="00572060" w:rsidRP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Chủ điểm gửi hàng (Hộ kinh doanh / Đại lý): Đầu tư mặt bằng, trang thiết bị, ký quỹ và chịu trách nhiệm pháp lý/tài chính với SPX.</w:t>
      </w:r>
    </w:p>
    <w:p w14:paraId="0B487486" w14:textId="77777777" w:rsid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Nhân sự tại điểm gửi hàng: Trực tiếp thực hiện 4 thao tác vận hành hàng ngày</w:t>
      </w:r>
    </w:p>
    <w:p w14:paraId="27AD7A19" w14:textId="390EE3DD" w:rsidR="00572060" w:rsidRPr="00572060" w:rsidRDefault="00572060">
      <w:pPr>
        <w:pStyle w:val="ListParagraph"/>
        <w:numPr>
          <w:ilvl w:val="0"/>
          <w:numId w:val="6"/>
        </w:numPr>
        <w:rPr>
          <w:rFonts w:ascii="Times New Roman" w:hAnsi="Times New Roman" w:cs="Times New Roman"/>
          <w:color w:val="000000" w:themeColor="text1"/>
          <w:sz w:val="26"/>
          <w:szCs w:val="26"/>
        </w:rPr>
      </w:pPr>
      <w:r w:rsidRPr="00572060">
        <w:rPr>
          <w:rFonts w:ascii="Times New Roman" w:hAnsi="Times New Roman" w:cs="Times New Roman"/>
          <w:color w:val="000000" w:themeColor="text1"/>
          <w:sz w:val="26"/>
          <w:szCs w:val="26"/>
        </w:rPr>
        <w:t>Người bán (Seller): Trực tiếp mang hàng hóa đến giao cho điểm gửi hàng.</w:t>
      </w:r>
    </w:p>
    <w:p w14:paraId="178EE166" w14:textId="1552E1CF"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Khách hàng của quy trình này:</w:t>
      </w:r>
    </w:p>
    <w:p w14:paraId="23A8EAC8" w14:textId="691B607E" w:rsidR="00841C10" w:rsidRPr="00006A4F" w:rsidRDefault="00841C10">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Người bán trên Shopee (Sellers): Đây là đối tượng trực tiếp mang hàng hóa đến bưu cục để gửi. Họ là người trải nghiệm trực tiếp chất lượng phục vụ, tốc độ quét nhận hàng và sự tiện lợi về vị trí/thời gian mở cửa của điểm gửi hàng.</w:t>
      </w:r>
    </w:p>
    <w:p w14:paraId="0A2A2C6C" w14:textId="2A2D3EA6" w:rsidR="00841C10" w:rsidRPr="00006A4F" w:rsidRDefault="00841C10">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Chủ điểm gửi hàng / Đại lý nhượng quyền (Hộ kinh doanh cá thể): Ở góc độ quản trị quy trình, các hộ kinh doanh chính là "khách hàng đối tác" mà SPX Express hướng tới để "bán" mô hình nhượng quyền. SPX cung cấp cho họ thương hiệu, phần mềm quản lý, quy trình vận hành và cơ hội gia tăng thu nhập (hoa hồng, tiền thưởng).</w:t>
      </w:r>
    </w:p>
    <w:p w14:paraId="360F1D00"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Giá trị mà quy trình mang lại:</w:t>
      </w:r>
    </w:p>
    <w:p w14:paraId="50A597DF" w14:textId="1FEF339E"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Tối ưu chi phí và tốc độ mở rộng: Mở rộng mạng lưới phủ sóng nhanh chóng mà không cần bỏ vốn lớn đầu tư mặt bằng hay tuyển dụng nhân sự cố định (tận dụng nguồn lực có sẵn của hộ kinh doanh).</w:t>
      </w:r>
    </w:p>
    <w:p w14:paraId="7BC02CD0" w14:textId="369BEC98"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Giảm thiểu rủi ro vận hành &amp; tài chính: Khoản tiền ký quỹ bảo đảm giúp giảm rủi ro thất thoát/hư hỏng, đồng thời tạo chế tài tài chính để buộc đại lý tuân thủ đúng cam kết chất lượng (SLA).</w:t>
      </w:r>
    </w:p>
    <w:p w14:paraId="168414F6" w14:textId="16D065E7"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Tăng năng lực tiếp nhận hàng hóa: Giải quyết bài toán quá tải gom hàng trong các đợt cao điểm (Mega Sale) nhờ cơ chế linh hoạt tăng giờ và mở rộng sức chứa của đại lý.</w:t>
      </w:r>
    </w:p>
    <w:p w14:paraId="5E3E9D4B" w14:textId="53E20ADC"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lastRenderedPageBreak/>
        <w:t>Gia tăng nguồn thu nhập: Tạo ra dòng tiền ổn định từ hoa hồng cố định trên mỗi đơn hàng thành công và khoản thưởng doanh số hấp dẫn vào các đợt mua sắm lớn.</w:t>
      </w:r>
    </w:p>
    <w:p w14:paraId="23253810" w14:textId="21C77FC0"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Tối ưu hóa nguồn lực có sẵn: Tận dụng tối đa diện tích mặt bằng dư thừa và thời gian rảnh của nhân sự hiện có để sinh lời.</w:t>
      </w:r>
    </w:p>
    <w:p w14:paraId="65E49447" w14:textId="7D7CBCD1"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Được chuyển giao công nghệ &amp; chuyên môn: Học hỏi quy trình vận hành bài bản, sử dụng phần mềm quản lý kho vận chuyên nghiệp và kết nối trực tiếp với lưu lượng đơn hàng lớn từ Shopee.</w:t>
      </w:r>
    </w:p>
    <w:p w14:paraId="2989C037" w14:textId="3564967D"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Sự tiện lợi và tiết kiệm thời gian: Có thêm nhiều điểm gửi hàng gần nhà/cửa hàng với mặt tiền thuận tiện, đường rộng dễ bốc dỡ.</w:t>
      </w:r>
    </w:p>
    <w:p w14:paraId="7604342A" w14:textId="6EEDF6EC" w:rsidR="00B4265C" w:rsidRPr="00006A4F" w:rsidRDefault="00B4265C">
      <w:pPr>
        <w:pStyle w:val="ListParagraph"/>
        <w:numPr>
          <w:ilvl w:val="0"/>
          <w:numId w:val="6"/>
        </w:numPr>
        <w:rPr>
          <w:rFonts w:ascii="Times New Roman" w:eastAsia="Times New Roman" w:hAnsi="Times New Roman" w:cs="Times New Roman"/>
          <w:kern w:val="0"/>
          <w:sz w:val="26"/>
          <w:szCs w:val="26"/>
          <w14:ligatures w14:val="none"/>
        </w:rPr>
      </w:pPr>
      <w:r w:rsidRPr="00006A4F">
        <w:rPr>
          <w:rFonts w:ascii="Times New Roman" w:eastAsia="Times New Roman" w:hAnsi="Times New Roman" w:cs="Times New Roman"/>
          <w:kern w:val="0"/>
          <w:sz w:val="26"/>
          <w:szCs w:val="26"/>
          <w14:ligatures w14:val="none"/>
        </w:rPr>
        <w:t>Minh bạch và an tâm: Hàng hóa được xử lý nhanh (quét mã, đóng bao niêm phong, giám sát qua camera 24/7), giúp đơn hàng cập nhật trạng thái tức thì trên hệ thống Shopee và giảm thiểu rủi ro thất thoát.</w:t>
      </w:r>
    </w:p>
    <w:p w14:paraId="44186FFB"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Những kết quả có thể đạt được của quy trình:</w:t>
      </w:r>
    </w:p>
    <w:p w14:paraId="4CCE4AD7" w14:textId="29D3EC66"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Mạng lưới điểm gửi hàng được mở rộng: Phủ sóng rộng rãi trên nhiều địa bàn nhờ tận dụng mặt bằng và nhân sự có sẵn của các hộ kinh doanh.</w:t>
      </w:r>
    </w:p>
    <w:p w14:paraId="4FEFB67E" w14:textId="77777777"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Tăng sản lượng và năng lực xử lý đơn hàng: Tiếp nhận lượng đơn hàng lớn và xử lý hiệu quả lượng đơn tăng đột biến trong các đợt cao điểm (Mega Sale).</w:t>
      </w:r>
    </w:p>
    <w:p w14:paraId="5766C610" w14:textId="1CC944BB"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Đảm bảo các chỉ số SLA vận hành cốt lõi</w:t>
      </w:r>
    </w:p>
    <w:p w14:paraId="2C655FC9" w14:textId="7D12DAF4"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Dữ liệu được đồng bộ theo thời gian thực: Kết nối thông suốt giữa phần mềm bưu cục SPX và hệ thống đơn hàng Shopee, giúp trạng thái đơn hàng cập nhật tức thì.</w:t>
      </w:r>
    </w:p>
    <w:p w14:paraId="48187A96" w14:textId="745B0DCA"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Tăng thu nhập cho đối tác nhượng quyền: Mang lại nguồn hoa hồng cố định và tiền thưởng doanh số cho chủ điểm gửi hàng dựa trên sản lượng đơn xử lý thành công.</w:t>
      </w:r>
    </w:p>
    <w:p w14:paraId="6E239ACA" w14:textId="4AD9954F"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Tối ưu chi phí và kiểm soát rủi ro tài chính: SPX tối ưu được chi phí đầu tư hạ tầng, đồng thời bảo đảm nghĩa vụ vận hành nhờ nguồn tiền ký quỹ từ đối tác.</w:t>
      </w:r>
    </w:p>
    <w:p w14:paraId="35728263" w14:textId="487DCAE9" w:rsidR="00B220E7" w:rsidRPr="00006A4F" w:rsidRDefault="00B220E7">
      <w:pPr>
        <w:pStyle w:val="ListParagraph"/>
        <w:numPr>
          <w:ilvl w:val="0"/>
          <w:numId w:val="7"/>
        </w:numPr>
        <w:rPr>
          <w:rFonts w:ascii="Times New Roman" w:hAnsi="Times New Roman" w:cs="Times New Roman"/>
          <w:color w:val="000000" w:themeColor="text1"/>
          <w:sz w:val="26"/>
          <w:szCs w:val="26"/>
        </w:rPr>
      </w:pPr>
      <w:r w:rsidRPr="00006A4F">
        <w:rPr>
          <w:rFonts w:ascii="Times New Roman" w:hAnsi="Times New Roman" w:cs="Times New Roman"/>
          <w:color w:val="000000" w:themeColor="text1"/>
          <w:sz w:val="26"/>
          <w:szCs w:val="26"/>
        </w:rPr>
        <w:t>Phân loại và quản lý chất lượng đại lý rõ ràng: Xếp hạng đại lý chính xác theo định kỳ để kịp thời khen thưởng hoặc áp dụng chế tài (trừ tiền ký quỹ, chấm dứt hợp đồng) đối với các điểm vi phạm.</w:t>
      </w:r>
    </w:p>
    <w:p w14:paraId="3AB05D6C"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1AFCD094"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6FDA7728"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2B1A3EFB"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28EEE9FE"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01654446" w14:textId="56D38A44"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p w14:paraId="39F6BD7F" w14:textId="706EFEED" w:rsidR="00504FF6" w:rsidRPr="00C36C19" w:rsidRDefault="00504FF6">
      <w:pPr>
        <w:pStyle w:val="ListParagraph"/>
        <w:numPr>
          <w:ilvl w:val="1"/>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lastRenderedPageBreak/>
        <w:t>3. Quy trình Xây dựng Chính sách Vận hành (Policy Development Workflow)</w:t>
      </w:r>
    </w:p>
    <w:p w14:paraId="50657854"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Mô tả quy trình</w:t>
      </w:r>
    </w:p>
    <w:p w14:paraId="15DC2B2B" w14:textId="77777777" w:rsidR="005A4025" w:rsidRPr="00C36C19" w:rsidRDefault="005A4025" w:rsidP="005A4025">
      <w:pPr>
        <w:keepNext/>
        <w:rPr>
          <w:rFonts w:ascii="Times New Roman" w:hAnsi="Times New Roman" w:cs="Times New Roman"/>
        </w:rPr>
      </w:pPr>
      <w:r w:rsidRPr="00C36C19">
        <w:rPr>
          <w:rFonts w:ascii="Times New Roman" w:hAnsi="Times New Roman" w:cs="Times New Roman"/>
          <w:b/>
          <w:bCs/>
          <w:noProof/>
          <w:color w:val="000000" w:themeColor="text1"/>
          <w:sz w:val="26"/>
          <w:szCs w:val="26"/>
        </w:rPr>
        <w:drawing>
          <wp:inline distT="0" distB="0" distL="0" distR="0" wp14:anchorId="65D0B2C2" wp14:editId="24D53A3E">
            <wp:extent cx="5943600" cy="724535"/>
            <wp:effectExtent l="0" t="0" r="0" b="0"/>
            <wp:docPr id="1268312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12644" name="Picture 126831264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724535"/>
                    </a:xfrm>
                    <a:prstGeom prst="rect">
                      <a:avLst/>
                    </a:prstGeom>
                  </pic:spPr>
                </pic:pic>
              </a:graphicData>
            </a:graphic>
          </wp:inline>
        </w:drawing>
      </w:r>
    </w:p>
    <w:p w14:paraId="177ACCA6" w14:textId="376834F4" w:rsidR="005A4025" w:rsidRPr="00C36C19" w:rsidRDefault="005A4025" w:rsidP="005A4025">
      <w:pPr>
        <w:pStyle w:val="Caption"/>
        <w:jc w:val="cente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 xml:space="preserve">Hình </w:t>
      </w:r>
      <w:r w:rsidRPr="00C36C19">
        <w:rPr>
          <w:rFonts w:ascii="Times New Roman" w:hAnsi="Times New Roman" w:cs="Times New Roman"/>
          <w:b/>
          <w:bCs/>
          <w:color w:val="000000" w:themeColor="text1"/>
          <w:sz w:val="26"/>
          <w:szCs w:val="26"/>
        </w:rPr>
        <w:fldChar w:fldCharType="begin"/>
      </w:r>
      <w:r w:rsidRPr="00C36C19">
        <w:rPr>
          <w:rFonts w:ascii="Times New Roman" w:hAnsi="Times New Roman" w:cs="Times New Roman"/>
          <w:b/>
          <w:bCs/>
          <w:color w:val="000000" w:themeColor="text1"/>
          <w:sz w:val="26"/>
          <w:szCs w:val="26"/>
        </w:rPr>
        <w:instrText xml:space="preserve"> SEQ Hình \* ARABIC </w:instrText>
      </w:r>
      <w:r w:rsidRPr="00C36C19">
        <w:rPr>
          <w:rFonts w:ascii="Times New Roman" w:hAnsi="Times New Roman" w:cs="Times New Roman"/>
          <w:b/>
          <w:bCs/>
          <w:color w:val="000000" w:themeColor="text1"/>
          <w:sz w:val="26"/>
          <w:szCs w:val="26"/>
        </w:rPr>
        <w:fldChar w:fldCharType="separate"/>
      </w:r>
      <w:r w:rsidRPr="00C36C19">
        <w:rPr>
          <w:rFonts w:ascii="Times New Roman" w:hAnsi="Times New Roman" w:cs="Times New Roman"/>
          <w:b/>
          <w:bCs/>
          <w:noProof/>
          <w:color w:val="000000" w:themeColor="text1"/>
          <w:sz w:val="26"/>
          <w:szCs w:val="26"/>
        </w:rPr>
        <w:t>3</w:t>
      </w:r>
      <w:r w:rsidRPr="00C36C19">
        <w:rPr>
          <w:rFonts w:ascii="Times New Roman" w:hAnsi="Times New Roman" w:cs="Times New Roman"/>
          <w:b/>
          <w:bCs/>
          <w:color w:val="000000" w:themeColor="text1"/>
          <w:sz w:val="26"/>
          <w:szCs w:val="26"/>
        </w:rPr>
        <w:fldChar w:fldCharType="end"/>
      </w:r>
      <w:r w:rsidRPr="00C36C19">
        <w:rPr>
          <w:rFonts w:ascii="Times New Roman" w:hAnsi="Times New Roman" w:cs="Times New Roman"/>
          <w:b/>
          <w:bCs/>
          <w:color w:val="000000" w:themeColor="text1"/>
          <w:sz w:val="26"/>
          <w:szCs w:val="26"/>
        </w:rPr>
        <w:t>. Quy trình Xây dựng Chính sách Vận hành</w:t>
      </w:r>
    </w:p>
    <w:p w14:paraId="5FC61038" w14:textId="77777777" w:rsidR="00504FF6"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quy trình</w:t>
      </w:r>
    </w:p>
    <w:p w14:paraId="0831193E" w14:textId="77777777" w:rsid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Các tác nhân tham gia quy trình</w:t>
      </w:r>
    </w:p>
    <w:p w14:paraId="5EA22402" w14:textId="77777777" w:rsidR="00572060" w:rsidRP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Khách hàng của quy trình này:</w:t>
      </w:r>
    </w:p>
    <w:p w14:paraId="0D4C3B51" w14:textId="77777777" w:rsidR="00572060" w:rsidRP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Giá trị mà quy trình mang lại:</w:t>
      </w:r>
    </w:p>
    <w:p w14:paraId="27C8E22E" w14:textId="51F08120" w:rsidR="00572060" w:rsidRPr="00572060" w:rsidRDefault="00572060" w:rsidP="00572060">
      <w:pPr>
        <w:rPr>
          <w:rFonts w:ascii="Times New Roman" w:hAnsi="Times New Roman" w:cs="Times New Roman"/>
          <w:b/>
          <w:bCs/>
          <w:i/>
          <w:iCs/>
          <w:color w:val="000000" w:themeColor="text1"/>
          <w:sz w:val="26"/>
          <w:szCs w:val="26"/>
        </w:rPr>
      </w:pPr>
      <w:r w:rsidRPr="00572060">
        <w:rPr>
          <w:rFonts w:ascii="Times New Roman" w:hAnsi="Times New Roman" w:cs="Times New Roman"/>
          <w:b/>
          <w:bCs/>
          <w:i/>
          <w:iCs/>
          <w:color w:val="000000" w:themeColor="text1"/>
          <w:sz w:val="26"/>
          <w:szCs w:val="26"/>
        </w:rPr>
        <w:t>Những kết quả có thể đạt được của quy trình:</w:t>
      </w:r>
    </w:p>
    <w:p w14:paraId="4C692F27"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tính</w:t>
      </w:r>
    </w:p>
    <w:p w14:paraId="7A42B9D7"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giá trị gia tăng</w:t>
      </w:r>
    </w:p>
    <w:p w14:paraId="6CE062AA"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lãng phí</w:t>
      </w:r>
    </w:p>
    <w:p w14:paraId="773613CF" w14:textId="77777777" w:rsidR="00504FF6" w:rsidRPr="00C36C19" w:rsidRDefault="00504FF6">
      <w:pPr>
        <w:pStyle w:val="ListParagraph"/>
        <w:numPr>
          <w:ilvl w:val="2"/>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Phân tích định lượng</w:t>
      </w:r>
    </w:p>
    <w:p w14:paraId="70A2D65F" w14:textId="7777777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Thời gian</w:t>
      </w:r>
    </w:p>
    <w:p w14:paraId="468DFE66" w14:textId="4008A4B7" w:rsidR="00504FF6" w:rsidRPr="00C36C19" w:rsidRDefault="00504FF6">
      <w:pPr>
        <w:pStyle w:val="ListParagraph"/>
        <w:numPr>
          <w:ilvl w:val="3"/>
          <w:numId w:val="1"/>
        </w:numPr>
        <w:rPr>
          <w:rFonts w:ascii="Times New Roman" w:hAnsi="Times New Roman" w:cs="Times New Roman"/>
          <w:b/>
          <w:bCs/>
          <w:color w:val="000000" w:themeColor="text1"/>
          <w:sz w:val="26"/>
          <w:szCs w:val="26"/>
        </w:rPr>
      </w:pPr>
      <w:r w:rsidRPr="00C36C19">
        <w:rPr>
          <w:rFonts w:ascii="Times New Roman" w:hAnsi="Times New Roman" w:cs="Times New Roman"/>
          <w:b/>
          <w:bCs/>
          <w:color w:val="000000" w:themeColor="text1"/>
          <w:sz w:val="26"/>
          <w:szCs w:val="26"/>
        </w:rPr>
        <w:t>Chi phí</w:t>
      </w:r>
    </w:p>
    <w:sectPr w:rsidR="00504FF6" w:rsidRPr="00C36C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B09"/>
    <w:multiLevelType w:val="hybridMultilevel"/>
    <w:tmpl w:val="29D0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30C01"/>
    <w:multiLevelType w:val="hybridMultilevel"/>
    <w:tmpl w:val="64080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284D70"/>
    <w:multiLevelType w:val="hybridMultilevel"/>
    <w:tmpl w:val="FC8E6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2B67E06"/>
    <w:multiLevelType w:val="hybridMultilevel"/>
    <w:tmpl w:val="E454F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445D1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62907089"/>
    <w:multiLevelType w:val="hybridMultilevel"/>
    <w:tmpl w:val="EE4438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B33E41"/>
    <w:multiLevelType w:val="hybridMultilevel"/>
    <w:tmpl w:val="13AE4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2744738">
    <w:abstractNumId w:val="4"/>
  </w:num>
  <w:num w:numId="2" w16cid:durableId="117721949">
    <w:abstractNumId w:val="3"/>
  </w:num>
  <w:num w:numId="3" w16cid:durableId="229537459">
    <w:abstractNumId w:val="6"/>
  </w:num>
  <w:num w:numId="4" w16cid:durableId="1725179766">
    <w:abstractNumId w:val="0"/>
  </w:num>
  <w:num w:numId="5" w16cid:durableId="1470325447">
    <w:abstractNumId w:val="2"/>
  </w:num>
  <w:num w:numId="6" w16cid:durableId="1615822551">
    <w:abstractNumId w:val="5"/>
  </w:num>
  <w:num w:numId="7" w16cid:durableId="749667314">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19"/>
    <w:rsid w:val="00006A4F"/>
    <w:rsid w:val="00074224"/>
    <w:rsid w:val="00085831"/>
    <w:rsid w:val="00097315"/>
    <w:rsid w:val="000D0A8B"/>
    <w:rsid w:val="00103264"/>
    <w:rsid w:val="002629E1"/>
    <w:rsid w:val="002F0719"/>
    <w:rsid w:val="002F64EF"/>
    <w:rsid w:val="00374244"/>
    <w:rsid w:val="003825C2"/>
    <w:rsid w:val="004250AC"/>
    <w:rsid w:val="00484677"/>
    <w:rsid w:val="00497F52"/>
    <w:rsid w:val="00504FF6"/>
    <w:rsid w:val="00572060"/>
    <w:rsid w:val="005A4025"/>
    <w:rsid w:val="005D1029"/>
    <w:rsid w:val="005E4731"/>
    <w:rsid w:val="00605AE3"/>
    <w:rsid w:val="00665824"/>
    <w:rsid w:val="00674390"/>
    <w:rsid w:val="006C17B1"/>
    <w:rsid w:val="0081486A"/>
    <w:rsid w:val="00833784"/>
    <w:rsid w:val="00841C10"/>
    <w:rsid w:val="00884D6E"/>
    <w:rsid w:val="008D724B"/>
    <w:rsid w:val="00AC4FC4"/>
    <w:rsid w:val="00AF1001"/>
    <w:rsid w:val="00B220E7"/>
    <w:rsid w:val="00B4265C"/>
    <w:rsid w:val="00B9362F"/>
    <w:rsid w:val="00C36C19"/>
    <w:rsid w:val="00D07E9A"/>
    <w:rsid w:val="00D762CB"/>
    <w:rsid w:val="00D87AB1"/>
    <w:rsid w:val="00E33F22"/>
    <w:rsid w:val="00E46B6F"/>
    <w:rsid w:val="00E948F6"/>
    <w:rsid w:val="00EC223B"/>
    <w:rsid w:val="00ED17C0"/>
    <w:rsid w:val="00EF74FB"/>
    <w:rsid w:val="00FE452D"/>
    <w:rsid w:val="00FE7314"/>
    <w:rsid w:val="00FE7536"/>
    <w:rsid w:val="00FF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48C"/>
  <w15:chartTrackingRefBased/>
  <w15:docId w15:val="{DAA420F4-7B79-4346-BDF6-B722306D6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060"/>
  </w:style>
  <w:style w:type="paragraph" w:styleId="Heading1">
    <w:name w:val="heading 1"/>
    <w:basedOn w:val="Normal"/>
    <w:next w:val="Normal"/>
    <w:link w:val="Heading1Char"/>
    <w:uiPriority w:val="9"/>
    <w:qFormat/>
    <w:rsid w:val="002F0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0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F0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0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F0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19"/>
    <w:rPr>
      <w:rFonts w:eastAsiaTheme="majorEastAsia" w:cstheme="majorBidi"/>
      <w:color w:val="272727" w:themeColor="text1" w:themeTint="D8"/>
    </w:rPr>
  </w:style>
  <w:style w:type="paragraph" w:styleId="Title">
    <w:name w:val="Title"/>
    <w:basedOn w:val="Normal"/>
    <w:next w:val="Normal"/>
    <w:link w:val="TitleChar"/>
    <w:uiPriority w:val="10"/>
    <w:qFormat/>
    <w:rsid w:val="002F0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19"/>
    <w:pPr>
      <w:spacing w:before="160"/>
      <w:jc w:val="center"/>
    </w:pPr>
    <w:rPr>
      <w:i/>
      <w:iCs/>
      <w:color w:val="404040" w:themeColor="text1" w:themeTint="BF"/>
    </w:rPr>
  </w:style>
  <w:style w:type="character" w:customStyle="1" w:styleId="QuoteChar">
    <w:name w:val="Quote Char"/>
    <w:basedOn w:val="DefaultParagraphFont"/>
    <w:link w:val="Quote"/>
    <w:uiPriority w:val="29"/>
    <w:rsid w:val="002F0719"/>
    <w:rPr>
      <w:i/>
      <w:iCs/>
      <w:color w:val="404040" w:themeColor="text1" w:themeTint="BF"/>
    </w:rPr>
  </w:style>
  <w:style w:type="paragraph" w:styleId="ListParagraph">
    <w:name w:val="List Paragraph"/>
    <w:basedOn w:val="Normal"/>
    <w:uiPriority w:val="34"/>
    <w:qFormat/>
    <w:rsid w:val="002F0719"/>
    <w:pPr>
      <w:ind w:left="720"/>
      <w:contextualSpacing/>
    </w:pPr>
  </w:style>
  <w:style w:type="character" w:styleId="IntenseEmphasis">
    <w:name w:val="Intense Emphasis"/>
    <w:basedOn w:val="DefaultParagraphFont"/>
    <w:uiPriority w:val="21"/>
    <w:qFormat/>
    <w:rsid w:val="002F0719"/>
    <w:rPr>
      <w:i/>
      <w:iCs/>
      <w:color w:val="0F4761" w:themeColor="accent1" w:themeShade="BF"/>
    </w:rPr>
  </w:style>
  <w:style w:type="paragraph" w:styleId="IntenseQuote">
    <w:name w:val="Intense Quote"/>
    <w:basedOn w:val="Normal"/>
    <w:next w:val="Normal"/>
    <w:link w:val="IntenseQuoteChar"/>
    <w:uiPriority w:val="30"/>
    <w:qFormat/>
    <w:rsid w:val="002F0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19"/>
    <w:rPr>
      <w:i/>
      <w:iCs/>
      <w:color w:val="0F4761" w:themeColor="accent1" w:themeShade="BF"/>
    </w:rPr>
  </w:style>
  <w:style w:type="character" w:styleId="IntenseReference">
    <w:name w:val="Intense Reference"/>
    <w:basedOn w:val="DefaultParagraphFont"/>
    <w:uiPriority w:val="32"/>
    <w:qFormat/>
    <w:rsid w:val="002F0719"/>
    <w:rPr>
      <w:b/>
      <w:bCs/>
      <w:smallCaps/>
      <w:color w:val="0F4761" w:themeColor="accent1" w:themeShade="BF"/>
      <w:spacing w:val="5"/>
    </w:rPr>
  </w:style>
  <w:style w:type="paragraph" w:styleId="Caption">
    <w:name w:val="caption"/>
    <w:basedOn w:val="Normal"/>
    <w:next w:val="Normal"/>
    <w:uiPriority w:val="35"/>
    <w:unhideWhenUsed/>
    <w:qFormat/>
    <w:rsid w:val="005D1029"/>
    <w:pPr>
      <w:spacing w:after="200" w:line="240" w:lineRule="auto"/>
    </w:pPr>
    <w:rPr>
      <w:i/>
      <w:iCs/>
      <w:color w:val="0E2841" w:themeColor="text2"/>
      <w:sz w:val="18"/>
      <w:szCs w:val="18"/>
    </w:rPr>
  </w:style>
  <w:style w:type="paragraph" w:styleId="NormalWeb">
    <w:name w:val="Normal (Web)"/>
    <w:basedOn w:val="Normal"/>
    <w:uiPriority w:val="99"/>
    <w:unhideWhenUsed/>
    <w:rsid w:val="0057206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2197</Words>
  <Characters>12527</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Thiên Phúc</dc:creator>
  <cp:keywords/>
  <dc:description/>
  <cp:lastModifiedBy>Hồ Thiên Phúc</cp:lastModifiedBy>
  <cp:revision>22</cp:revision>
  <dcterms:created xsi:type="dcterms:W3CDTF">2026-08-02T16:29:00Z</dcterms:created>
  <dcterms:modified xsi:type="dcterms:W3CDTF">2026-08-09T12:26:00Z</dcterms:modified>
</cp:coreProperties>
</file>