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rPr>
          <w:cantSplit/>
        </w:trPr>
        <w:tc>
          <w:tcPr>
            <w:tcW w:type="dxa" w:w="9360"/>
            <w:shd w:fill="1B365D"/>
            <w:tcMar>
              <w:top w:w="260" w:type="dxa"/>
              <w:bottom w:w="260" w:type="dxa"/>
              <w:left w:w="200" w:type="dxa"/>
              <w:right w:w="200" w:type="dxa"/>
            </w:tcMar>
          </w:tcPr>
          <w:p>
            <w:pPr>
              <w:spacing w:after="120"/>
            </w:pPr>
            <w:r>
              <w:rPr>
                <w:rFonts w:ascii="Calibri" w:hAnsi="Calibri"/>
                <w:b/>
                <w:color w:val="FFFFFF"/>
                <w:sz w:val="44"/>
              </w:rPr>
              <w:t>Enterprise Document Classification Framework (EDCF - POC 1)</w:t>
              <w:br/>
            </w:r>
            <w:r>
              <w:rPr>
                <w:rFonts w:ascii="Calibri" w:hAnsi="Calibri"/>
                <w:color w:val="E2E8F0"/>
                <w:sz w:val="26"/>
              </w:rPr>
              <w:t>Autonomous Banking Document Intelligence &amp; Auto-Indexing Platform</w:t>
              <w:br/>
              <w:br/>
            </w:r>
            <w:r>
              <w:rPr>
                <w:rFonts w:ascii="Calibri" w:hAnsi="Calibri"/>
                <w:i/>
                <w:color w:val="CBD5E1"/>
                <w:sz w:val="20"/>
              </w:rPr>
              <w:t>Executive Master Solution Architecture &amp; Technical Report | BFSI Intelligence</w:t>
            </w:r>
          </w:p>
        </w:tc>
      </w:tr>
    </w:tbl>
    <w:p>
      <w:pPr>
        <w:spacing w:after="240"/>
      </w:pPr>
    </w:p>
    <w:tbl>
      <w:tblPr>
        <w:tblW w:type="auto" w:w="0"/>
        <w:jc w:val="center"/>
        <w:tblLook w:firstColumn="1" w:firstRow="1" w:lastColumn="0" w:lastRow="0" w:noHBand="0" w:noVBand="1" w:val="04A0"/>
      </w:tblPr>
      <w:tblGrid>
        <w:gridCol w:w="9360"/>
      </w:tblGrid>
      <w:tr>
        <w:trPr>
          <w:cantSplit/>
        </w:trPr>
        <w:tc>
          <w:tcPr>
            <w:tcW w:type="dxa" w:w="9360"/>
            <w:shd w:fill="F0F4F8"/>
            <w:tcMar>
              <w:top w:w="120" w:type="dxa"/>
              <w:bottom w:w="120" w:type="dxa"/>
              <w:left w:w="160" w:type="dxa"/>
              <w:right w:w="160" w:type="dxa"/>
            </w:tcMar>
            <w:tcBorders>
              <w:left w:val="single" w:sz="36" w:space="0" w:color="1B365D"/>
              <w:top w:val="none"/>
              <w:right w:val="none"/>
              <w:bottom w:val="none"/>
            </w:tcBorders>
          </w:tcPr>
          <w:p>
            <w:pPr>
              <w:keepLines/>
              <w:spacing w:after="80"/>
            </w:pPr>
            <w:r>
              <w:rPr>
                <w:rFonts w:ascii="Calibri" w:hAnsi="Calibri"/>
                <w:b/>
                <w:color w:val="1B365D"/>
                <w:sz w:val="22"/>
              </w:rPr>
              <w:t>Executive Architecture Summary &amp; Strategic Purpose</w:t>
              <w:br/>
            </w:r>
            <w:r>
              <w:rPr>
                <w:rFonts w:ascii="Calibri" w:hAnsi="Calibri"/>
                <w:color w:val="2D3748"/>
                <w:sz w:val="20"/>
              </w:rPr>
              <w:t>This master architectural document defines the solution techniques, neural feature fusion mechanisms, and enterprise integration patterns powering EDCF POC 1. Designed specifically for retail, corporate, and commercial banking operations, the platform replaces static zonal OCR templates with an intelligent, self-learning multimodal engine that automates document classification across 15 core banking classes + 1 explicit Unknown fallback class, extracts structured key-value index metadata, mines multi-facet search tags, and dynamically files assets into PRE-EXISTING enterprise DMS repositories with ≥ 95% operational automation.</w:t>
            </w:r>
          </w:p>
        </w:tc>
      </w:tr>
    </w:tbl>
    <w:p>
      <w:pPr>
        <w:spacing w:after="120"/>
      </w:pPr>
    </w:p>
    <w:p>
      <w:pPr>
        <w:keepNext/>
        <w:spacing w:before="440" w:after="160"/>
      </w:pPr>
      <w:r>
        <w:rPr>
          <w:rFonts w:ascii="Calibri" w:hAnsi="Calibri"/>
          <w:b/>
          <w:color w:val="1B365D"/>
          <w:sz w:val="33"/>
        </w:rPr>
        <w:t>1. Executive Overview &amp; Core Strategic Objectives</w:t>
      </w:r>
    </w:p>
    <w:p>
      <w:pPr>
        <w:keepNext/>
        <w:spacing w:before="280" w:after="120"/>
      </w:pPr>
      <w:r>
        <w:rPr>
          <w:rFonts w:ascii="Calibri" w:hAnsi="Calibri"/>
          <w:b/>
          <w:color w:val="2B6CB0"/>
          <w:sz w:val="26"/>
        </w:rPr>
        <w:t>1.1 Solution Value Proposition &amp; Pillars</w:t>
      </w:r>
    </w:p>
    <w:p>
      <w:pPr>
        <w:pStyle w:val="ListBullet"/>
        <w:spacing w:before="40" w:after="60"/>
      </w:pPr>
      <w:r>
        <w:rPr>
          <w:rFonts w:ascii="Calibri" w:hAnsi="Calibri"/>
          <w:b/>
          <w:color w:val="1B365D"/>
        </w:rPr>
        <w:t xml:space="preserve">Multi-Class Document Automation: </w:t>
      </w:r>
      <w:r>
        <w:rPr>
          <w:rFonts w:ascii="Calibri" w:hAnsi="Calibri"/>
          <w:color w:val="2D3748"/>
        </w:rPr>
        <w:t>Automates document classification across 15 core banking classes + 1 explicit Unknown fallback class.</w:t>
      </w:r>
    </w:p>
    <w:p>
      <w:pPr>
        <w:pStyle w:val="ListBullet"/>
        <w:spacing w:before="40" w:after="60"/>
      </w:pPr>
      <w:r>
        <w:rPr>
          <w:rFonts w:ascii="Calibri" w:hAnsi="Calibri"/>
          <w:b/>
          <w:color w:val="1B365D"/>
        </w:rPr>
        <w:t xml:space="preserve">Schema-Driven Field Extraction: </w:t>
      </w:r>
      <w:r>
        <w:rPr>
          <w:rFonts w:ascii="Calibri" w:hAnsi="Calibri"/>
          <w:color w:val="2D3748"/>
        </w:rPr>
        <w:t>Automatically routes predicted document types to specific JSON metadata schemas (e.g. pan_number, account_number, loan_amount).</w:t>
      </w:r>
    </w:p>
    <w:p>
      <w:pPr>
        <w:pStyle w:val="ListBullet"/>
        <w:spacing w:before="40" w:after="60"/>
      </w:pPr>
      <w:r>
        <w:rPr>
          <w:rFonts w:ascii="Calibri" w:hAnsi="Calibri"/>
          <w:b/>
          <w:color w:val="1B365D"/>
        </w:rPr>
        <w:t xml:space="preserve">Auto-Tagging &amp; Multi-Facet Search: </w:t>
      </w:r>
      <w:r>
        <w:rPr>
          <w:rFonts w:ascii="Calibri" w:hAnsi="Calibri"/>
          <w:color w:val="2D3748"/>
        </w:rPr>
        <w:t>Mines 4 to 8 contextual search tags (#PAN, #KYC, #Finance) enabling multi-facet enterprise search.</w:t>
      </w:r>
    </w:p>
    <w:p>
      <w:pPr>
        <w:pStyle w:val="ListBullet"/>
        <w:spacing w:before="40" w:after="60"/>
      </w:pPr>
      <w:r>
        <w:rPr>
          <w:rFonts w:ascii="Calibri" w:hAnsi="Calibri"/>
          <w:b/>
          <w:color w:val="1B365D"/>
        </w:rPr>
        <w:t xml:space="preserve">Pre-Defined DMS Integration: </w:t>
      </w:r>
      <w:r>
        <w:rPr>
          <w:rFonts w:ascii="Calibri" w:hAnsi="Calibri"/>
          <w:color w:val="2D3748"/>
        </w:rPr>
        <w:t>Decouples machine learning code from storage. Files documents directly into PRE-EXISTING system Cabinets, Drawers, Folders, and Files.</w:t>
      </w:r>
    </w:p>
    <w:p>
      <w:pPr>
        <w:pStyle w:val="ListBullet"/>
        <w:spacing w:before="40" w:after="60"/>
      </w:pPr>
      <w:r>
        <w:rPr>
          <w:rFonts w:ascii="Calibri" w:hAnsi="Calibri"/>
          <w:b/>
          <w:color w:val="1B365D"/>
        </w:rPr>
        <w:t xml:space="preserve">Dual-Path Confidence Safety: </w:t>
      </w:r>
      <w:r>
        <w:rPr>
          <w:rFonts w:ascii="Calibri" w:hAnsi="Calibri"/>
          <w:color w:val="2D3748"/>
        </w:rPr>
        <w:t>High confidence (C ≥ 0.90) automates filing; low confidence (C &lt; 0.90) routes to human review queues.</w:t>
      </w:r>
    </w:p>
    <w:p>
      <w:pPr>
        <w:pStyle w:val="ListBullet"/>
        <w:spacing w:before="40" w:after="60"/>
      </w:pPr>
      <w:r>
        <w:rPr>
          <w:rFonts w:ascii="Calibri" w:hAnsi="Calibri"/>
          <w:b/>
          <w:color w:val="1B365D"/>
        </w:rPr>
        <w:t xml:space="preserve">Human-in-the-Loop Active Learning: </w:t>
      </w:r>
      <w:r>
        <w:rPr>
          <w:rFonts w:ascii="Calibri" w:hAnsi="Calibri"/>
          <w:color w:val="2D3748"/>
        </w:rPr>
        <w:t>Human corrections trigger background fine-tuning, allowing models to continuously adapt over time.</w:t>
      </w:r>
    </w:p>
    <w:p>
      <w:pPr>
        <w:keepNext/>
        <w:spacing w:before="440" w:after="160"/>
      </w:pPr>
      <w:r>
        <w:rPr>
          <w:rFonts w:ascii="Calibri" w:hAnsi="Calibri"/>
          <w:b/>
          <w:color w:val="1B365D"/>
          <w:sz w:val="33"/>
        </w:rPr>
        <w:t>2. Business Challenges in Banking Document Capture</w:t>
      </w:r>
    </w:p>
    <w:p>
      <w:pPr>
        <w:keepNext/>
        <w:spacing w:before="280" w:after="120"/>
      </w:pPr>
      <w:r>
        <w:rPr>
          <w:rFonts w:ascii="Calibri" w:hAnsi="Calibri"/>
          <w:b/>
          <w:color w:val="2B6CB0"/>
          <w:sz w:val="26"/>
        </w:rPr>
        <w:t>2.1 Operational Pain Points in Legacy Capture Systems</w:t>
      </w:r>
    </w:p>
    <w:p>
      <w:pPr>
        <w:pStyle w:val="ListBullet"/>
        <w:spacing w:before="40" w:after="60"/>
      </w:pPr>
      <w:r>
        <w:rPr>
          <w:rFonts w:ascii="Calibri" w:hAnsi="Calibri"/>
          <w:b/>
          <w:color w:val="1B365D"/>
        </w:rPr>
        <w:t xml:space="preserve">High Operational Expenditure (OpEx): </w:t>
      </w:r>
      <w:r>
        <w:rPr>
          <w:rFonts w:ascii="Calibri" w:hAnsi="Calibri"/>
          <w:color w:val="2D3748"/>
        </w:rPr>
        <w:t>Dedicated FTE teams spend thousands of hours manually classifying, splitting, and keying data from scanned PDFs.</w:t>
      </w:r>
    </w:p>
    <w:p>
      <w:pPr>
        <w:pStyle w:val="ListBullet"/>
        <w:spacing w:before="40" w:after="60"/>
      </w:pPr>
      <w:r>
        <w:rPr>
          <w:rFonts w:ascii="Calibri" w:hAnsi="Calibri"/>
          <w:b/>
          <w:color w:val="1B365D"/>
        </w:rPr>
        <w:t xml:space="preserve">Processing Delays &amp; SLA Breaches: </w:t>
      </w:r>
      <w:r>
        <w:rPr>
          <w:rFonts w:ascii="Calibri" w:hAnsi="Calibri"/>
          <w:color w:val="2D3748"/>
        </w:rPr>
        <w:t>Customer onboarding and loan sanctioning processing are delayed by days due to manual review backlogs.</w:t>
      </w:r>
    </w:p>
    <w:p>
      <w:pPr>
        <w:pStyle w:val="ListBullet"/>
        <w:spacing w:before="40" w:after="60"/>
      </w:pPr>
      <w:r>
        <w:rPr>
          <w:rFonts w:ascii="Calibri" w:hAnsi="Calibri"/>
          <w:b/>
          <w:color w:val="1B365D"/>
        </w:rPr>
        <w:t xml:space="preserve">Rigid Template Maintenance: </w:t>
      </w:r>
      <w:r>
        <w:rPr>
          <w:rFonts w:ascii="Calibri" w:hAnsi="Calibri"/>
          <w:color w:val="2D3748"/>
        </w:rPr>
        <w:t>Zonal OCR systems break whenever vendor formats change or skewed mobile scans are uploaded.</w:t>
      </w:r>
    </w:p>
    <w:p>
      <w:pPr>
        <w:pStyle w:val="ListBullet"/>
        <w:spacing w:before="40" w:after="60"/>
      </w:pPr>
      <w:r>
        <w:rPr>
          <w:rFonts w:ascii="Calibri" w:hAnsi="Calibri"/>
          <w:b/>
          <w:color w:val="1B365D"/>
        </w:rPr>
        <w:t xml:space="preserve">Out-of-Distribution Noise: </w:t>
      </w:r>
      <w:r>
        <w:rPr>
          <w:rFonts w:ascii="Calibri" w:hAnsi="Calibri"/>
          <w:color w:val="2D3748"/>
        </w:rPr>
        <w:t>Unexpected file types cause system crashes or pollute enterprise repository storage.</w:t>
      </w:r>
    </w:p>
    <w:p>
      <w:pPr>
        <w:keepNext/>
        <w:spacing w:before="440" w:after="160"/>
      </w:pPr>
      <w:r>
        <w:rPr>
          <w:rFonts w:ascii="Calibri" w:hAnsi="Calibri"/>
          <w:b/>
          <w:color w:val="1B365D"/>
          <w:sz w:val="33"/>
        </w:rPr>
        <w:t>3. Strategic Solution Architecture &amp; Multimodal AI Paradigm</w:t>
      </w:r>
    </w:p>
    <w:p>
      <w:pPr>
        <w:keepNext/>
        <w:spacing w:before="280" w:after="120"/>
      </w:pPr>
      <w:r>
        <w:rPr>
          <w:rFonts w:ascii="Calibri" w:hAnsi="Calibri"/>
          <w:b/>
          <w:color w:val="2B6CB0"/>
          <w:sz w:val="26"/>
        </w:rPr>
        <w:t>3.1 Paradigm Shift from Static OCR to Multimodal Feature Fusion</w:t>
      </w:r>
    </w:p>
    <w:tbl>
      <w:tblPr>
        <w:tblW w:type="auto" w:w="0"/>
        <w:jc w:val="center"/>
        <w:tblLook w:firstColumn="1" w:firstRow="1" w:lastColumn="0" w:lastRow="0" w:noHBand="0" w:noVBand="1" w:val="04A0"/>
      </w:tblPr>
      <w:tblGrid>
        <w:gridCol w:w="9360"/>
      </w:tblGrid>
      <w:tr>
        <w:trPr>
          <w:cantSplit/>
        </w:trPr>
        <w:tc>
          <w:tcPr>
            <w:tcW w:type="dxa" w:w="9360"/>
            <w:shd w:fill="F0F4F8"/>
            <w:tcMar>
              <w:top w:w="120" w:type="dxa"/>
              <w:bottom w:w="120" w:type="dxa"/>
              <w:left w:w="160" w:type="dxa"/>
              <w:right w:w="160" w:type="dxa"/>
            </w:tcMar>
            <w:tcBorders>
              <w:left w:val="single" w:sz="36" w:space="0" w:color="1B365D"/>
              <w:top w:val="none"/>
              <w:right w:val="none"/>
              <w:bottom w:val="none"/>
            </w:tcBorders>
          </w:tcPr>
          <w:p>
            <w:pPr>
              <w:keepLines/>
              <w:spacing w:after="80"/>
            </w:pPr>
            <w:r>
              <w:rPr>
                <w:rFonts w:ascii="Calibri" w:hAnsi="Calibri"/>
                <w:b/>
                <w:color w:val="1B365D"/>
                <w:sz w:val="22"/>
              </w:rPr>
              <w:t>Multimodal Tri-Modal Feature Fusion Mathematical Representation</w:t>
              <w:br/>
              <w:br/>
            </w:r>
            <w:r>
              <w:rPr>
                <w:rFonts w:ascii="Calibri" w:hAnsi="Calibri"/>
                <w:b/>
                <w:i/>
                <w:color w:val="1B365D"/>
                <w:sz w:val="24"/>
              </w:rPr>
              <w:t>E</w:t>
            </w:r>
            <w:r>
              <w:rPr>
                <w:rFonts w:ascii="Calibri" w:hAnsi="Calibri"/>
                <w:b/>
                <w:color w:val="2B6CB0"/>
                <w:sz w:val="19"/>
                <w:vertAlign w:val="subscript"/>
              </w:rPr>
              <w:t>unified</w:t>
            </w:r>
            <w:r>
              <w:rPr>
                <w:rFonts w:ascii="Calibri" w:hAnsi="Calibri"/>
                <w:b/>
                <w:color w:val="1B365D"/>
                <w:sz w:val="22"/>
              </w:rPr>
              <w:t xml:space="preserve"> = </w:t>
            </w:r>
            <w:r>
              <w:rPr>
                <w:rFonts w:ascii="Calibri" w:hAnsi="Calibri"/>
                <w:b/>
                <w:i/>
                <w:color w:val="1B365D"/>
                <w:sz w:val="24"/>
              </w:rPr>
              <w:t>E</w:t>
            </w:r>
            <w:r>
              <w:rPr>
                <w:rFonts w:ascii="Calibri" w:hAnsi="Calibri"/>
                <w:b/>
                <w:color w:val="2B6CB0"/>
                <w:sz w:val="19"/>
                <w:vertAlign w:val="subscript"/>
              </w:rPr>
              <w:t>text</w:t>
            </w:r>
            <w:r>
              <w:rPr>
                <w:rFonts w:ascii="Calibri" w:hAnsi="Calibri"/>
                <w:b/>
                <w:color w:val="1B365D"/>
                <w:sz w:val="22"/>
              </w:rPr>
              <w:t xml:space="preserve"> + </w:t>
            </w:r>
            <w:r>
              <w:rPr>
                <w:rFonts w:ascii="Calibri" w:hAnsi="Calibri"/>
                <w:b/>
                <w:i/>
                <w:color w:val="1B365D"/>
                <w:sz w:val="24"/>
              </w:rPr>
              <w:t>E</w:t>
            </w:r>
            <w:r>
              <w:rPr>
                <w:rFonts w:ascii="Calibri" w:hAnsi="Calibri"/>
                <w:b/>
                <w:color w:val="2B6CB0"/>
                <w:sz w:val="19"/>
                <w:vertAlign w:val="subscript"/>
              </w:rPr>
              <w:t>spatial_x1</w:t>
            </w:r>
            <w:r>
              <w:rPr>
                <w:rFonts w:ascii="Calibri" w:hAnsi="Calibri"/>
                <w:b/>
                <w:color w:val="1B365D"/>
                <w:sz w:val="22"/>
              </w:rPr>
              <w:t xml:space="preserve"> + </w:t>
            </w:r>
            <w:r>
              <w:rPr>
                <w:rFonts w:ascii="Calibri" w:hAnsi="Calibri"/>
                <w:b/>
                <w:i/>
                <w:color w:val="1B365D"/>
                <w:sz w:val="24"/>
              </w:rPr>
              <w:t>E</w:t>
            </w:r>
            <w:r>
              <w:rPr>
                <w:rFonts w:ascii="Calibri" w:hAnsi="Calibri"/>
                <w:b/>
                <w:color w:val="2B6CB0"/>
                <w:sz w:val="19"/>
                <w:vertAlign w:val="subscript"/>
              </w:rPr>
              <w:t>spatial_y1</w:t>
            </w:r>
            <w:r>
              <w:rPr>
                <w:rFonts w:ascii="Calibri" w:hAnsi="Calibri"/>
                <w:b/>
                <w:color w:val="1B365D"/>
                <w:sz w:val="22"/>
              </w:rPr>
              <w:t xml:space="preserve"> + </w:t>
            </w:r>
            <w:r>
              <w:rPr>
                <w:rFonts w:ascii="Calibri" w:hAnsi="Calibri"/>
                <w:b/>
                <w:i/>
                <w:color w:val="1B365D"/>
                <w:sz w:val="24"/>
              </w:rPr>
              <w:t>E</w:t>
            </w:r>
            <w:r>
              <w:rPr>
                <w:rFonts w:ascii="Calibri" w:hAnsi="Calibri"/>
                <w:b/>
                <w:color w:val="2B6CB0"/>
                <w:sz w:val="19"/>
                <w:vertAlign w:val="subscript"/>
              </w:rPr>
              <w:t>spatial_x2</w:t>
            </w:r>
            <w:r>
              <w:rPr>
                <w:rFonts w:ascii="Calibri" w:hAnsi="Calibri"/>
                <w:b/>
                <w:color w:val="1B365D"/>
                <w:sz w:val="22"/>
              </w:rPr>
              <w:t xml:space="preserve"> + </w:t>
            </w:r>
            <w:r>
              <w:rPr>
                <w:rFonts w:ascii="Calibri" w:hAnsi="Calibri"/>
                <w:b/>
                <w:i/>
                <w:color w:val="1B365D"/>
                <w:sz w:val="24"/>
              </w:rPr>
              <w:t>E</w:t>
            </w:r>
            <w:r>
              <w:rPr>
                <w:rFonts w:ascii="Calibri" w:hAnsi="Calibri"/>
                <w:b/>
                <w:color w:val="2B6CB0"/>
                <w:sz w:val="19"/>
                <w:vertAlign w:val="subscript"/>
              </w:rPr>
              <w:t>spatial_y2</w:t>
            </w:r>
            <w:r>
              <w:rPr>
                <w:rFonts w:ascii="Calibri" w:hAnsi="Calibri"/>
                <w:b/>
                <w:color w:val="1B365D"/>
                <w:sz w:val="22"/>
              </w:rPr>
              <w:t xml:space="preserve"> + </w:t>
            </w:r>
            <w:r>
              <w:rPr>
                <w:rFonts w:ascii="Calibri" w:hAnsi="Calibri"/>
                <w:b/>
                <w:i/>
                <w:color w:val="1B365D"/>
                <w:sz w:val="24"/>
              </w:rPr>
              <w:t>E</w:t>
            </w:r>
            <w:r>
              <w:rPr>
                <w:rFonts w:ascii="Calibri" w:hAnsi="Calibri"/>
                <w:b/>
                <w:color w:val="2B6CB0"/>
                <w:sz w:val="19"/>
                <w:vertAlign w:val="subscript"/>
              </w:rPr>
              <w:t>segment</w:t>
            </w:r>
            <w:r>
              <w:rPr>
                <w:rFonts w:ascii="Calibri" w:hAnsi="Calibri"/>
                <w:color w:val="2D3748"/>
                <w:sz w:val="20"/>
              </w:rPr>
              <w:br/>
              <w:br/>
              <w:t>Unlike text-only NLP models or image-only CNNs, EDCF POC 1 fuses WordPiece text token embeddings with 2D spatial coordinate bounding boxes (normalized to a 0-1000 spatial grid) into a single unified transformer embedding representation.</w:t>
            </w:r>
          </w:p>
        </w:tc>
      </w:tr>
    </w:tbl>
    <w:p>
      <w:pPr>
        <w:spacing w:after="120"/>
      </w:pPr>
    </w:p>
    <w:p>
      <w:pPr>
        <w:keepNext/>
        <w:spacing w:before="280" w:after="80"/>
      </w:pPr>
      <w:r>
        <w:rPr>
          <w:rFonts w:ascii="Calibri" w:hAnsi="Calibri"/>
          <w:b/>
          <w:color w:val="1B365D"/>
          <w:sz w:val="22"/>
        </w:rPr>
        <w:t>Multimodal Tri-Modal Neural Architecture Flow</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INCOMING UNSTRUCTURED BANKING DOCUMENT      │</w:t>
      </w:r>
    </w:p>
    <w:p>
      <w:pPr>
        <w:keepNext/>
        <w:spacing w:before="0" w:after="0" w:line="220" w:lineRule="exact"/>
        <w:ind w:left="288"/>
        <w:pBdr>
          <w:left w:val="single" w:sz="18" w:space="8" w:color="2B6CB0"/>
        </w:pBdr>
      </w:pPr>
      <w:r>
        <w:rPr>
          <w:rFonts w:ascii="Consolas" w:hAnsi="Consolas"/>
          <w:color w:val="1E293B"/>
          <w:sz w:val="17"/>
        </w:rPr>
        <w:t>│  (PDFs, Mobile Scans, Customer Application Forms)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                   ▼                   ▼</w:t>
      </w:r>
    </w:p>
    <w:p>
      <w:pPr>
        <w:keepNext/>
        <w:spacing w:before="0" w:after="0" w:line="220" w:lineRule="exact"/>
        <w:ind w:left="288"/>
        <w:pBdr>
          <w:left w:val="single" w:sz="18" w:space="8" w:color="2B6CB0"/>
        </w:pBdr>
      </w:pPr>
      <w:r>
        <w:rPr>
          <w:rFonts w:ascii="Consolas" w:hAnsi="Consolas"/>
          <w:color w:val="1E293B"/>
          <w:sz w:val="17"/>
        </w:rPr>
        <w:t>┌───────────┐       ┌───────────┐       ┌───────────┐</w:t>
      </w:r>
    </w:p>
    <w:p>
      <w:pPr>
        <w:keepNext/>
        <w:spacing w:before="0" w:after="0" w:line="220" w:lineRule="exact"/>
        <w:ind w:left="288"/>
        <w:pBdr>
          <w:left w:val="single" w:sz="18" w:space="8" w:color="2B6CB0"/>
        </w:pBdr>
      </w:pPr>
      <w:r>
        <w:rPr>
          <w:rFonts w:ascii="Consolas" w:hAnsi="Consolas"/>
          <w:color w:val="1E293B"/>
          <w:sz w:val="17"/>
        </w:rPr>
        <w:t>│ 1. Text   │       │ 2. 2D BBox│       │ 3. Page   │</w:t>
      </w:r>
    </w:p>
    <w:p>
      <w:pPr>
        <w:keepNext/>
        <w:spacing w:before="0" w:after="0" w:line="220" w:lineRule="exact"/>
        <w:ind w:left="288"/>
        <w:pBdr>
          <w:left w:val="single" w:sz="18" w:space="8" w:color="2B6CB0"/>
        </w:pBdr>
      </w:pPr>
      <w:r>
        <w:rPr>
          <w:rFonts w:ascii="Consolas" w:hAnsi="Consolas"/>
          <w:color w:val="1E293B"/>
          <w:sz w:val="17"/>
        </w:rPr>
        <w:t>│ Tokens    │       │ Geometry  │       │ Pixel Grid│</w:t>
      </w:r>
    </w:p>
    <w:p>
      <w:pPr>
        <w:keepNext/>
        <w:spacing w:before="0" w:after="0" w:line="220" w:lineRule="exact"/>
        <w:ind w:left="288"/>
        <w:pBdr>
          <w:left w:val="single" w:sz="18" w:space="8" w:color="2B6CB0"/>
        </w:pBdr>
      </w:pPr>
      <w:r>
        <w:rPr>
          <w:rFonts w:ascii="Consolas" w:hAnsi="Consolas"/>
          <w:color w:val="1E293B"/>
          <w:sz w:val="17"/>
        </w:rPr>
        <w:t>└─────┬─────┘       └─────┬─────┘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TRI-MODAL FEATURE FUSION ENGINE          │</w:t>
      </w:r>
    </w:p>
    <w:p>
      <w:pPr>
        <w:keepNext/>
        <w:spacing w:before="0" w:after="0" w:line="220" w:lineRule="exact"/>
        <w:ind w:left="288"/>
        <w:pBdr>
          <w:left w:val="single" w:sz="18" w:space="8" w:color="2B6CB0"/>
        </w:pBdr>
      </w:pPr>
      <w:r>
        <w:rPr>
          <w:rFonts w:ascii="Consolas" w:hAnsi="Consolas"/>
          <w:color w:val="1E293B"/>
          <w:sz w:val="17"/>
        </w:rPr>
        <w:t>│   (LayoutLMv1 / LayoutLMv3 Transformer Backbone)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                   ▼                   ▼</w:t>
      </w:r>
    </w:p>
    <w:p>
      <w:pPr>
        <w:keepNext/>
        <w:spacing w:before="0" w:after="0" w:line="220" w:lineRule="exact"/>
        <w:ind w:left="288"/>
        <w:pBdr>
          <w:left w:val="single" w:sz="18" w:space="8" w:color="2B6CB0"/>
        </w:pBdr>
      </w:pPr>
      <w:r>
        <w:rPr>
          <w:rFonts w:ascii="Consolas" w:hAnsi="Consolas"/>
          <w:color w:val="1E293B"/>
          <w:sz w:val="17"/>
        </w:rPr>
        <w:t>┌───────────┐       ┌───────────┐       ┌───────────┐</w:t>
      </w:r>
    </w:p>
    <w:p>
      <w:pPr>
        <w:keepNext/>
        <w:spacing w:before="0" w:after="0" w:line="220" w:lineRule="exact"/>
        <w:ind w:left="288"/>
        <w:pBdr>
          <w:left w:val="single" w:sz="18" w:space="8" w:color="2B6CB0"/>
        </w:pBdr>
      </w:pPr>
      <w:r>
        <w:rPr>
          <w:rFonts w:ascii="Consolas" w:hAnsi="Consolas"/>
          <w:color w:val="1E293B"/>
          <w:sz w:val="17"/>
        </w:rPr>
        <w:t>│ Auto      │       │ Field     │       │ Auto-Tag  │</w:t>
      </w:r>
    </w:p>
    <w:p>
      <w:pPr>
        <w:keepNext/>
        <w:spacing w:before="0" w:after="0" w:line="220" w:lineRule="exact"/>
        <w:ind w:left="288"/>
        <w:pBdr>
          <w:left w:val="single" w:sz="18" w:space="8" w:color="2B6CB0"/>
        </w:pBdr>
      </w:pPr>
      <w:r>
        <w:rPr>
          <w:rFonts w:ascii="Consolas" w:hAnsi="Consolas"/>
          <w:color w:val="1E293B"/>
          <w:sz w:val="17"/>
        </w:rPr>
        <w:t>│ Doctype   │       │Extraction │       │ Engine    │</w:t>
      </w:r>
    </w:p>
    <w:p>
      <w:pPr>
        <w:keepNext/>
        <w:spacing w:before="0" w:after="0" w:line="220" w:lineRule="exact"/>
        <w:ind w:left="288"/>
        <w:pBdr>
          <w:left w:val="single" w:sz="18" w:space="8" w:color="2B6CB0"/>
        </w:pBdr>
      </w:pPr>
      <w:r>
        <w:rPr>
          <w:rFonts w:ascii="Consolas" w:hAnsi="Consolas"/>
          <w:color w:val="1E293B"/>
          <w:sz w:val="17"/>
        </w:rPr>
        <w:t>└─────┬─────┘       └─────┬─────┘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PRE-EXISTING REPOSITORY PATH RESOLUTION      │</w:t>
      </w:r>
    </w:p>
    <w:p>
      <w:pPr>
        <w:keepNext/>
        <w:spacing w:before="0" w:after="0" w:line="220" w:lineRule="exact"/>
        <w:ind w:left="288"/>
        <w:pBdr>
          <w:left w:val="single" w:sz="18" w:space="8" w:color="2B6CB0"/>
        </w:pBdr>
      </w:pPr>
      <w:r>
        <w:rPr>
          <w:rFonts w:ascii="Consolas" w:hAnsi="Consolas"/>
          <w:color w:val="1E293B"/>
          <w:sz w:val="17"/>
        </w:rPr>
        <w:t>│ (Pre-defined Cabinet -&gt; Drawer -&gt; Folder -&gt; File) │</w:t>
      </w:r>
    </w:p>
    <w:p>
      <w:pPr>
        <w:spacing w:before="0" w:after="0" w:line="220" w:lineRule="exact"/>
        <w:ind w:left="288"/>
        <w:pBdr>
          <w:left w:val="single" w:sz="18" w:space="8" w:color="2B6CB0"/>
        </w:pBdr>
      </w:pPr>
      <w:r>
        <w:rPr>
          <w:rFonts w:ascii="Consolas" w:hAnsi="Consolas"/>
          <w:color w:val="1E293B"/>
          <w:sz w:val="17"/>
        </w:rPr>
        <w:t>└───────────────────────────────────────────────────┘</w:t>
      </w:r>
    </w:p>
    <w:p>
      <w:pPr>
        <w:spacing w:after="160"/>
      </w:pPr>
    </w:p>
    <w:p>
      <w:pPr>
        <w:keepNext/>
        <w:spacing w:before="440" w:after="160"/>
      </w:pPr>
      <w:r>
        <w:rPr>
          <w:rFonts w:ascii="Calibri" w:hAnsi="Calibri"/>
          <w:b/>
          <w:color w:val="1B365D"/>
          <w:sz w:val="33"/>
        </w:rPr>
        <w:t>4. End-to-End Technical Pipeline Blueprint</w:t>
      </w:r>
    </w:p>
    <w:p>
      <w:pPr>
        <w:keepNext/>
        <w:spacing w:before="280" w:after="120"/>
      </w:pPr>
      <w:r>
        <w:rPr>
          <w:rFonts w:ascii="Calibri" w:hAnsi="Calibri"/>
          <w:b/>
          <w:color w:val="2B6CB0"/>
          <w:sz w:val="26"/>
        </w:rPr>
        <w:t>4.1 Master End-to-End System Architecture Flowchart (Exact Slide 04 Pipeline)</w:t>
      </w:r>
    </w:p>
    <w:p>
      <w:pPr>
        <w:keepNext/>
        <w:spacing w:before="280" w:after="80"/>
      </w:pPr>
      <w:r>
        <w:rPr>
          <w:rFonts w:ascii="Calibri" w:hAnsi="Calibri"/>
          <w:b/>
          <w:color w:val="1B365D"/>
          <w:sz w:val="22"/>
        </w:rPr>
        <w:t>Master Architecture Flowchart Graphic (Exact Slide 04 Representation with Active Learning Retraining Loop)</w:t>
      </w:r>
    </w:p>
    <w:p>
      <w:pPr>
        <w:keepNext/>
        <w:spacing w:before="80" w:after="120"/>
        <w:jc w:val="center"/>
      </w:pPr>
      <w:r>
        <w:drawing>
          <wp:inline xmlns:a="http://schemas.openxmlformats.org/drawingml/2006/main" xmlns:pic="http://schemas.openxmlformats.org/drawingml/2006/picture">
            <wp:extent cx="5212080" cy="6396644"/>
            <wp:docPr id="1" name="Picture 1"/>
            <wp:cNvGraphicFramePr>
              <a:graphicFrameLocks noChangeAspect="1"/>
            </wp:cNvGraphicFramePr>
            <a:graphic>
              <a:graphicData uri="http://schemas.openxmlformats.org/drawingml/2006/picture">
                <pic:pic>
                  <pic:nvPicPr>
                    <pic:cNvPr id="0" name="slide04_flowchart.png"/>
                    <pic:cNvPicPr/>
                  </pic:nvPicPr>
                  <pic:blipFill>
                    <a:blip r:embed="rId9"/>
                    <a:stretch>
                      <a:fillRect/>
                    </a:stretch>
                  </pic:blipFill>
                  <pic:spPr>
                    <a:xfrm>
                      <a:off x="0" y="0"/>
                      <a:ext cx="5212080" cy="6396644"/>
                    </a:xfrm>
                    <a:prstGeom prst="rect"/>
                  </pic:spPr>
                </pic:pic>
              </a:graphicData>
            </a:graphic>
          </wp:inline>
        </w:drawing>
      </w:r>
    </w:p>
    <w:p>
      <w:pPr>
        <w:spacing w:after="160"/>
      </w:pPr>
    </w:p>
    <w:p>
      <w:pPr>
        <w:keepNext/>
        <w:spacing w:before="440" w:after="160"/>
      </w:pPr>
      <w:r>
        <w:rPr>
          <w:rFonts w:ascii="Calibri" w:hAnsi="Calibri"/>
          <w:b/>
          <w:color w:val="1B365D"/>
          <w:sz w:val="33"/>
        </w:rPr>
        <w:t>5. Standardized Banking Document Taxonomy Matrix</w:t>
      </w:r>
    </w:p>
    <w:p>
      <w:pPr>
        <w:keepNext/>
        <w:spacing w:before="280" w:after="120"/>
      </w:pPr>
      <w:r>
        <w:rPr>
          <w:rFonts w:ascii="Calibri" w:hAnsi="Calibri"/>
          <w:b/>
          <w:color w:val="2B6CB0"/>
          <w:sz w:val="26"/>
        </w:rPr>
        <w:t>5.1 Production Document Inventory &amp; Extraction Schemas</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vAlign w:val="center"/>
            <w:shd w:fill="1B365D"/>
            <w:tcMar>
              <w:top w:w="120" w:type="dxa"/>
              <w:bottom w:w="120" w:type="dxa"/>
              <w:left w:w="100" w:type="dxa"/>
              <w:right w:w="100" w:type="dxa"/>
            </w:tcMar>
          </w:tcPr>
          <w:p>
            <w:pPr>
              <w:keepNext/>
              <w:spacing w:after="0"/>
            </w:pPr>
            <w:r>
              <w:rPr>
                <w:rFonts w:ascii="Calibri" w:hAnsi="Calibri"/>
                <w:b/>
                <w:color w:val="FFFFFF"/>
                <w:sz w:val="20"/>
              </w:rPr>
              <w:t>Category</w:t>
            </w:r>
          </w:p>
        </w:tc>
        <w:tc>
          <w:tcPr>
            <w:tcW w:type="dxa" w:w="2340"/>
            <w:vAlign w:val="center"/>
            <w:shd w:fill="1B365D"/>
            <w:tcMar>
              <w:top w:w="120" w:type="dxa"/>
              <w:bottom w:w="120" w:type="dxa"/>
              <w:left w:w="100" w:type="dxa"/>
              <w:right w:w="100" w:type="dxa"/>
            </w:tcMar>
          </w:tcPr>
          <w:p>
            <w:pPr>
              <w:keepNext/>
              <w:spacing w:after="0"/>
            </w:pPr>
            <w:r>
              <w:rPr>
                <w:rFonts w:ascii="Calibri" w:hAnsi="Calibri"/>
                <w:b/>
                <w:color w:val="FFFFFF"/>
                <w:sz w:val="20"/>
              </w:rPr>
              <w:t>Document Class (doctype)</w:t>
            </w:r>
          </w:p>
        </w:tc>
        <w:tc>
          <w:tcPr>
            <w:tcW w:type="dxa" w:w="2340"/>
            <w:vAlign w:val="center"/>
            <w:shd w:fill="1B365D"/>
            <w:tcMar>
              <w:top w:w="120" w:type="dxa"/>
              <w:bottom w:w="120" w:type="dxa"/>
              <w:left w:w="100" w:type="dxa"/>
              <w:right w:w="100" w:type="dxa"/>
            </w:tcMar>
          </w:tcPr>
          <w:p>
            <w:pPr>
              <w:keepNext/>
              <w:spacing w:after="0"/>
            </w:pPr>
            <w:r>
              <w:rPr>
                <w:rFonts w:ascii="Calibri" w:hAnsi="Calibri"/>
                <w:b/>
                <w:color w:val="FFFFFF"/>
                <w:sz w:val="20"/>
              </w:rPr>
              <w:t>Business Scope</w:t>
            </w:r>
          </w:p>
        </w:tc>
        <w:tc>
          <w:tcPr>
            <w:tcW w:type="dxa" w:w="2340"/>
            <w:vAlign w:val="center"/>
            <w:shd w:fill="1B365D"/>
            <w:tcMar>
              <w:top w:w="120" w:type="dxa"/>
              <w:bottom w:w="120" w:type="dxa"/>
              <w:left w:w="100" w:type="dxa"/>
              <w:right w:w="100" w:type="dxa"/>
            </w:tcMar>
          </w:tcPr>
          <w:p>
            <w:pPr>
              <w:keepNext/>
              <w:spacing w:after="0"/>
            </w:pPr>
            <w:r>
              <w:rPr>
                <w:rFonts w:ascii="Calibri" w:hAnsi="Calibri"/>
                <w:b/>
                <w:color w:val="FFFFFF"/>
                <w:sz w:val="20"/>
              </w:rPr>
              <w:t>Key Index Fields Extracted</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Customer_Onboarding</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PAN_Card</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Indian Tax &amp; Identity Card</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pan_number, customer_name, dob</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Customer_Onboarding</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Address_Proof</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Utility Bills &amp; Proofs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address_line, doc_type</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Customer_Onboarding</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Identity_Proof</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Passports &amp; National IDs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id_number</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Customer_Onboarding</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KYC_Form</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 Due Diligence</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kyc_ref_id, date</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Customer_Onboarding</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Customer_Application</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 Onboarding Request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applicant_name, application_date</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Loan_Application</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Credit Request Form</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applicant_name, loan_amount, date</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Income_Proof</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Tax Return &amp; Pay Stubs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applicant_name, annual_income</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Sanction_Letter</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Credit Line Approval Letter</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loan_acc_no, amount</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Loan_Agreement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Legal Credit Contract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borrower_name, lender_name, principal</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Repayment_Schedule</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EMI Payment Schedule Matrix</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loan_acc_no, total_emi, emi_amount</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Account_Opening_Form</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Deposit Account Request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applicant_name, account_type, date</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Bank_Statement</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Cash Flow Ledger &amp; Audit</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acc_no, start_date, end_date</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Passbook</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Savings Ledger Printout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account_number, branch</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Account_Closure_Form</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 Termination Form</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account_number, reason</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Statements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Salary_Slip</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Monthly Income Slip</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employee_name, company, gross_salary, net_salary</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Statements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Transaction_Statement</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Cash Transfer Log</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account_number, period</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Statements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Account_Statement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Financial Balance Summary</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customer_name, account_number, balance</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Statements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Invoice</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Vendor Billing Statement</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invoice_no, date, vendor_name, total</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Statements</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Receipt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Payment Acknowledgment</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merchant_name, date, total_amount</w:t>
            </w:r>
          </w:p>
        </w:tc>
      </w:tr>
      <w:tr>
        <w:trPr>
          <w:cantSplit/>
        </w:trPr>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Statements</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Purchase_Order</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Procurement Authorization</w:t>
            </w:r>
          </w:p>
        </w:tc>
        <w:tc>
          <w:tcPr>
            <w:tcW w:type="dxa" w:w="234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po_number, vendor_name, po_date, total</w:t>
            </w:r>
          </w:p>
        </w:tc>
      </w:tr>
      <w:tr>
        <w:trPr>
          <w:cantSplit/>
        </w:trPr>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Fallback</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Unknown</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Out-of-Distribution / Low Conf</w:t>
            </w:r>
          </w:p>
        </w:tc>
        <w:tc>
          <w:tcPr>
            <w:tcW w:type="dxa" w:w="234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Routes to HITL Queue for Review &amp; Active Learn</w:t>
            </w:r>
          </w:p>
        </w:tc>
      </w:tr>
    </w:tbl>
    <w:p>
      <w:pPr>
        <w:spacing w:after="160"/>
      </w:pPr>
    </w:p>
    <w:p>
      <w:pPr>
        <w:keepNext/>
        <w:spacing w:before="440" w:after="160"/>
      </w:pPr>
      <w:r>
        <w:rPr>
          <w:rFonts w:ascii="Calibri" w:hAnsi="Calibri"/>
          <w:b/>
          <w:color w:val="1B365D"/>
          <w:sz w:val="33"/>
        </w:rPr>
        <w:t>6. Pre-Existing Enterprise DMS Repository Hierarchy &amp; Routing</w:t>
      </w:r>
    </w:p>
    <w:p>
      <w:pPr>
        <w:keepNext/>
        <w:spacing w:before="280" w:after="120"/>
      </w:pPr>
      <w:r>
        <w:rPr>
          <w:rFonts w:ascii="Calibri" w:hAnsi="Calibri"/>
          <w:b/>
          <w:color w:val="2B6CB0"/>
          <w:sz w:val="26"/>
        </w:rPr>
        <w:t>6.1 Pre-Defined System Storage Resolution Formula</w:t>
      </w:r>
    </w:p>
    <w:tbl>
      <w:tblPr>
        <w:tblW w:type="auto" w:w="0"/>
        <w:jc w:val="center"/>
        <w:tblLook w:firstColumn="1" w:firstRow="1" w:lastColumn="0" w:lastRow="0" w:noHBand="0" w:noVBand="1" w:val="04A0"/>
      </w:tblPr>
      <w:tblGrid>
        <w:gridCol w:w="9360"/>
      </w:tblGrid>
      <w:tr>
        <w:trPr>
          <w:cantSplit/>
        </w:trPr>
        <w:tc>
          <w:tcPr>
            <w:tcW w:type="dxa" w:w="9360"/>
            <w:shd w:fill="F0F4F8"/>
            <w:tcMar>
              <w:top w:w="120" w:type="dxa"/>
              <w:bottom w:w="120" w:type="dxa"/>
              <w:left w:w="160" w:type="dxa"/>
              <w:right w:w="160" w:type="dxa"/>
            </w:tcMar>
            <w:tcBorders>
              <w:left w:val="single" w:sz="36" w:space="0" w:color="1B365D"/>
              <w:top w:val="none"/>
              <w:right w:val="none"/>
              <w:bottom w:val="none"/>
            </w:tcBorders>
          </w:tcPr>
          <w:p>
            <w:pPr>
              <w:keepLines/>
              <w:spacing w:after="80"/>
            </w:pPr>
            <w:r>
              <w:rPr>
                <w:rFonts w:ascii="Calibri" w:hAnsi="Calibri"/>
                <w:b/>
                <w:color w:val="1B365D"/>
                <w:sz w:val="22"/>
              </w:rPr>
              <w:t>System Architecture Rule: Pre-Defined DMS Structure</w:t>
              <w:br/>
            </w:r>
            <w:r>
              <w:rPr>
                <w:rFonts w:ascii="Calibri" w:hAnsi="Calibri"/>
                <w:color w:val="2D3748"/>
                <w:sz w:val="20"/>
              </w:rPr>
              <w:t>IMPORTANT ARCHITECTURAL DESIGN NOTE:</w:t>
              <w:br/>
              <w:t>EDCF POC 1 DOES NOT CREATE NEW CABINETS, DRAWERS, OR FOLDERS AT RUNTIME.</w:t>
              <w:br/>
              <w:br/>
              <w:t>All Cabinets, Drawers, Folders, and File structures exist pre-defined within the enterprise banking DMS storage repository.</w:t>
              <w:br/>
              <w:t>The classification and extraction pipeline automatically resolves the target path formula:</w:t>
              <w:br/>
              <w:t>Target Path = Banking / Pre-existing Cabinet / Pre-existing Drawer / Pre-existing Folder / Target File</w:t>
              <w:br/>
              <w:br/>
              <w:t>This maps the classified document directly into its pre-allocated system storage location without modifying repository schemas.</w:t>
            </w:r>
          </w:p>
        </w:tc>
      </w:tr>
    </w:tbl>
    <w:p>
      <w:pPr>
        <w:spacing w:after="120"/>
      </w:pPr>
    </w:p>
    <w:p>
      <w:pPr>
        <w:keepNext/>
        <w:spacing w:before="280" w:after="80"/>
      </w:pPr>
      <w:r>
        <w:rPr>
          <w:rFonts w:ascii="Calibri" w:hAnsi="Calibri"/>
          <w:b/>
          <w:color w:val="1B365D"/>
          <w:sz w:val="22"/>
        </w:rPr>
        <w:t>Pre-Defined Enterprise DMS Directory Organization Tree</w:t>
      </w:r>
    </w:p>
    <w:p>
      <w:pPr>
        <w:keepNext/>
        <w:spacing w:before="0" w:after="0" w:line="220" w:lineRule="exact"/>
        <w:ind w:left="288"/>
        <w:pBdr>
          <w:left w:val="single" w:sz="18" w:space="8" w:color="2B6CB0"/>
        </w:pBdr>
      </w:pPr>
      <w:r>
        <w:rPr>
          <w:rFonts w:ascii="Consolas" w:hAnsi="Consolas"/>
          <w:color w:val="1E293B"/>
          <w:sz w:val="17"/>
        </w:rPr>
        <w:t>Banking (Pre-Defined Repository Root)</w:t>
      </w:r>
    </w:p>
    <w:p>
      <w:pPr>
        <w:keepNext/>
        <w:spacing w:before="0" w:after="0" w:line="220" w:lineRule="exact"/>
        <w:ind w:left="288"/>
        <w:pBdr>
          <w:left w:val="single" w:sz="18" w:space="8" w:color="2B6CB0"/>
        </w:pBdr>
      </w:pPr>
      <w:r>
        <w:rPr>
          <w:rFonts w:ascii="Consolas" w:hAnsi="Consolas"/>
          <w:color w:val="1E293B"/>
          <w:sz w:val="17"/>
        </w:rPr>
        <w:t>├── Customer_Onboarding_Cabinet (Pre-Defined System Cabinet)</w:t>
      </w:r>
    </w:p>
    <w:p>
      <w:pPr>
        <w:keepNext/>
        <w:spacing w:before="0" w:after="0" w:line="220" w:lineRule="exact"/>
        <w:ind w:left="288"/>
        <w:pBdr>
          <w:left w:val="single" w:sz="18" w:space="8" w:color="2B6CB0"/>
        </w:pBdr>
      </w:pPr>
      <w:r>
        <w:rPr>
          <w:rFonts w:ascii="Consolas" w:hAnsi="Consolas"/>
          <w:color w:val="1E293B"/>
          <w:sz w:val="17"/>
        </w:rPr>
        <w:t>│   └── KYC_Verification_Drawer (Pre-Defined System Drawer)</w:t>
      </w:r>
    </w:p>
    <w:p>
      <w:pPr>
        <w:keepNext/>
        <w:spacing w:before="0" w:after="0" w:line="220" w:lineRule="exact"/>
        <w:ind w:left="288"/>
        <w:pBdr>
          <w:left w:val="single" w:sz="18" w:space="8" w:color="2B6CB0"/>
        </w:pBdr>
      </w:pPr>
      <w:r>
        <w:rPr>
          <w:rFonts w:ascii="Consolas" w:hAnsi="Consolas"/>
          <w:color w:val="1E293B"/>
          <w:sz w:val="17"/>
        </w:rPr>
        <w:t>│       └── Customer_ABCDE1234F (Pre-Defined Customer Folder)</w:t>
      </w:r>
    </w:p>
    <w:p>
      <w:pPr>
        <w:keepNext/>
        <w:spacing w:before="0" w:after="0" w:line="220" w:lineRule="exact"/>
        <w:ind w:left="288"/>
        <w:pBdr>
          <w:left w:val="single" w:sz="18" w:space="8" w:color="2B6CB0"/>
        </w:pBdr>
      </w:pPr>
      <w:r>
        <w:rPr>
          <w:rFonts w:ascii="Consolas" w:hAnsi="Consolas"/>
          <w:color w:val="1E293B"/>
          <w:sz w:val="17"/>
        </w:rPr>
        <w:t>│           ├── PAN_Card_scan001.pdf (Filed Document)</w:t>
      </w:r>
    </w:p>
    <w:p>
      <w:pPr>
        <w:keepNext/>
        <w:spacing w:before="0" w:after="0" w:line="220" w:lineRule="exact"/>
        <w:ind w:left="288"/>
        <w:pBdr>
          <w:left w:val="single" w:sz="18" w:space="8" w:color="2B6CB0"/>
        </w:pBdr>
      </w:pPr>
      <w:r>
        <w:rPr>
          <w:rFonts w:ascii="Consolas" w:hAnsi="Consolas"/>
          <w:color w:val="1E293B"/>
          <w:sz w:val="17"/>
        </w:rPr>
        <w:t>│           ├── Address_Proof_utility.pdf (Filed Document)</w:t>
      </w:r>
    </w:p>
    <w:p>
      <w:pPr>
        <w:keepNext/>
        <w:spacing w:before="0" w:after="0" w:line="220" w:lineRule="exact"/>
        <w:ind w:left="288"/>
        <w:pBdr>
          <w:left w:val="single" w:sz="18" w:space="8" w:color="2B6CB0"/>
        </w:pBdr>
      </w:pPr>
      <w:r>
        <w:rPr>
          <w:rFonts w:ascii="Consolas" w:hAnsi="Consolas"/>
          <w:color w:val="1E293B"/>
          <w:sz w:val="17"/>
        </w:rPr>
        <w:t>│           └── KYC_Form_signed.pdf (Filed Document)</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Loan_Management_Cabinet (Pre-Defined System Cabinet)</w:t>
      </w:r>
    </w:p>
    <w:p>
      <w:pPr>
        <w:keepNext/>
        <w:spacing w:before="0" w:after="0" w:line="220" w:lineRule="exact"/>
        <w:ind w:left="288"/>
        <w:pBdr>
          <w:left w:val="single" w:sz="18" w:space="8" w:color="2B6CB0"/>
        </w:pBdr>
      </w:pPr>
      <w:r>
        <w:rPr>
          <w:rFonts w:ascii="Consolas" w:hAnsi="Consolas"/>
          <w:color w:val="1E293B"/>
          <w:sz w:val="17"/>
        </w:rPr>
        <w:t>│   └── Active_Loans_Drawer (Pre-Defined System Drawer)</w:t>
      </w:r>
    </w:p>
    <w:p>
      <w:pPr>
        <w:keepNext/>
        <w:spacing w:before="0" w:after="0" w:line="220" w:lineRule="exact"/>
        <w:ind w:left="288"/>
        <w:pBdr>
          <w:left w:val="single" w:sz="18" w:space="8" w:color="2B6CB0"/>
        </w:pBdr>
      </w:pPr>
      <w:r>
        <w:rPr>
          <w:rFonts w:ascii="Consolas" w:hAnsi="Consolas"/>
          <w:color w:val="1E293B"/>
          <w:sz w:val="17"/>
        </w:rPr>
        <w:t>│       └── Loan_LN-98765432 (Pre-Defined Loan Folder)</w:t>
      </w:r>
    </w:p>
    <w:p>
      <w:pPr>
        <w:keepNext/>
        <w:spacing w:before="0" w:after="0" w:line="220" w:lineRule="exact"/>
        <w:ind w:left="288"/>
        <w:pBdr>
          <w:left w:val="single" w:sz="18" w:space="8" w:color="2B6CB0"/>
        </w:pBdr>
      </w:pPr>
      <w:r>
        <w:rPr>
          <w:rFonts w:ascii="Consolas" w:hAnsi="Consolas"/>
          <w:color w:val="1E293B"/>
          <w:sz w:val="17"/>
        </w:rPr>
        <w:t>│           ├── Loan_Application_doc.pdf (Filed Document)</w:t>
      </w:r>
    </w:p>
    <w:p>
      <w:pPr>
        <w:keepNext/>
        <w:spacing w:before="0" w:after="0" w:line="220" w:lineRule="exact"/>
        <w:ind w:left="288"/>
        <w:pBdr>
          <w:left w:val="single" w:sz="18" w:space="8" w:color="2B6CB0"/>
        </w:pBdr>
      </w:pPr>
      <w:r>
        <w:rPr>
          <w:rFonts w:ascii="Consolas" w:hAnsi="Consolas"/>
          <w:color w:val="1E293B"/>
          <w:sz w:val="17"/>
        </w:rPr>
        <w:t>│           ├── Sanction_Letter_approved.pdf (Filed Document)</w:t>
      </w:r>
    </w:p>
    <w:p>
      <w:pPr>
        <w:keepNext/>
        <w:spacing w:before="0" w:after="0" w:line="220" w:lineRule="exact"/>
        <w:ind w:left="288"/>
        <w:pBdr>
          <w:left w:val="single" w:sz="18" w:space="8" w:color="2B6CB0"/>
        </w:pBdr>
      </w:pPr>
      <w:r>
        <w:rPr>
          <w:rFonts w:ascii="Consolas" w:hAnsi="Consolas"/>
          <w:color w:val="1E293B"/>
          <w:sz w:val="17"/>
        </w:rPr>
        <w:t>│           ├── Loan_Agreement_executed.pdf (Filed Document)</w:t>
      </w:r>
    </w:p>
    <w:p>
      <w:pPr>
        <w:keepNext/>
        <w:spacing w:before="0" w:after="0" w:line="220" w:lineRule="exact"/>
        <w:ind w:left="288"/>
        <w:pBdr>
          <w:left w:val="single" w:sz="18" w:space="8" w:color="2B6CB0"/>
        </w:pBdr>
      </w:pPr>
      <w:r>
        <w:rPr>
          <w:rFonts w:ascii="Consolas" w:hAnsi="Consolas"/>
          <w:color w:val="1E293B"/>
          <w:sz w:val="17"/>
        </w:rPr>
        <w:t>│           └── Repayment_Schedule_table.pdf (Filed Document)</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Account_Services_Cabinet (Pre-Defined System Cabinet)</w:t>
      </w:r>
    </w:p>
    <w:p>
      <w:pPr>
        <w:keepNext/>
        <w:spacing w:before="0" w:after="0" w:line="220" w:lineRule="exact"/>
        <w:ind w:left="288"/>
        <w:pBdr>
          <w:left w:val="single" w:sz="18" w:space="8" w:color="2B6CB0"/>
        </w:pBdr>
      </w:pPr>
      <w:r>
        <w:rPr>
          <w:rFonts w:ascii="Consolas" w:hAnsi="Consolas"/>
          <w:color w:val="1E293B"/>
          <w:sz w:val="17"/>
        </w:rPr>
        <w:t xml:space="preserve">    └── Deposit_Accounts_Drawer (Pre-Defined System Drawer)</w:t>
      </w:r>
    </w:p>
    <w:p>
      <w:pPr>
        <w:keepNext/>
        <w:spacing w:before="0" w:after="0" w:line="220" w:lineRule="exact"/>
        <w:ind w:left="288"/>
        <w:pBdr>
          <w:left w:val="single" w:sz="18" w:space="8" w:color="2B6CB0"/>
        </w:pBdr>
      </w:pPr>
      <w:r>
        <w:rPr>
          <w:rFonts w:ascii="Consolas" w:hAnsi="Consolas"/>
          <w:color w:val="1E293B"/>
          <w:sz w:val="17"/>
        </w:rPr>
        <w:t xml:space="preserve">        └── Account_998877665544 (Pre-Defined Account Folder)</w:t>
      </w:r>
    </w:p>
    <w:p>
      <w:pPr>
        <w:keepNext/>
        <w:spacing w:before="0" w:after="0" w:line="220" w:lineRule="exact"/>
        <w:ind w:left="288"/>
        <w:pBdr>
          <w:left w:val="single" w:sz="18" w:space="8" w:color="2B6CB0"/>
        </w:pBdr>
      </w:pPr>
      <w:r>
        <w:rPr>
          <w:rFonts w:ascii="Consolas" w:hAnsi="Consolas"/>
          <w:color w:val="1E293B"/>
          <w:sz w:val="17"/>
        </w:rPr>
        <w:t xml:space="preserve">            ├── Account_Opening_Form_new.pdf (Filed Document)</w:t>
      </w:r>
    </w:p>
    <w:p>
      <w:pPr>
        <w:keepNext/>
        <w:spacing w:before="0" w:after="0" w:line="220" w:lineRule="exact"/>
        <w:ind w:left="288"/>
        <w:pBdr>
          <w:left w:val="single" w:sz="18" w:space="8" w:color="2B6CB0"/>
        </w:pBdr>
      </w:pPr>
      <w:r>
        <w:rPr>
          <w:rFonts w:ascii="Consolas" w:hAnsi="Consolas"/>
          <w:color w:val="1E293B"/>
          <w:sz w:val="17"/>
        </w:rPr>
        <w:t xml:space="preserve">            ├── Bank_Statement_Q3.pdf (Filed Document)</w:t>
      </w:r>
    </w:p>
    <w:p>
      <w:pPr>
        <w:spacing w:before="0" w:after="0" w:line="220" w:lineRule="exact"/>
        <w:ind w:left="288"/>
        <w:pBdr>
          <w:left w:val="single" w:sz="18" w:space="8" w:color="2B6CB0"/>
        </w:pBdr>
      </w:pPr>
      <w:r>
        <w:rPr>
          <w:rFonts w:ascii="Consolas" w:hAnsi="Consolas"/>
          <w:color w:val="1E293B"/>
          <w:sz w:val="17"/>
        </w:rPr>
        <w:t xml:space="preserve">            └── Salary_Slip_July.pdf (Filed Document)</w:t>
      </w:r>
    </w:p>
    <w:p>
      <w:pPr>
        <w:spacing w:after="160"/>
      </w:pPr>
    </w:p>
    <w:p>
      <w:pPr>
        <w:keepNext/>
        <w:spacing w:before="440" w:after="160"/>
      </w:pPr>
      <w:r>
        <w:rPr>
          <w:rFonts w:ascii="Calibri" w:hAnsi="Calibri"/>
          <w:b/>
          <w:color w:val="1B365D"/>
          <w:sz w:val="33"/>
        </w:rPr>
        <w:t>7. Foundation Model Strategy &amp; Hardware Benchmarks</w:t>
      </w:r>
    </w:p>
    <w:p>
      <w:pPr>
        <w:keepNext/>
        <w:spacing w:before="280" w:after="120"/>
      </w:pPr>
      <w:r>
        <w:rPr>
          <w:rFonts w:ascii="Calibri" w:hAnsi="Calibri"/>
          <w:b/>
          <w:color w:val="2B6CB0"/>
          <w:sz w:val="26"/>
        </w:rPr>
        <w:t>7.1 Model Comparison &amp; Hardware Evaluation</w:t>
      </w:r>
    </w:p>
    <w:tbl>
      <w:tblPr>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1B365D"/>
            <w:tcMar>
              <w:top w:w="120" w:type="dxa"/>
              <w:bottom w:w="120" w:type="dxa"/>
              <w:left w:w="100" w:type="dxa"/>
              <w:right w:w="100" w:type="dxa"/>
            </w:tcMar>
          </w:tcPr>
          <w:p>
            <w:pPr>
              <w:keepNext/>
              <w:spacing w:after="0"/>
            </w:pPr>
            <w:r>
              <w:rPr>
                <w:rFonts w:ascii="Calibri" w:hAnsi="Calibri"/>
                <w:b/>
                <w:color w:val="FFFFFF"/>
                <w:sz w:val="20"/>
              </w:rPr>
              <w:t>Evaluation Criteria</w:t>
            </w:r>
          </w:p>
        </w:tc>
        <w:tc>
          <w:tcPr>
            <w:tcW w:type="dxa" w:w="1872"/>
            <w:vAlign w:val="center"/>
            <w:shd w:fill="1B365D"/>
            <w:tcMar>
              <w:top w:w="120" w:type="dxa"/>
              <w:bottom w:w="120" w:type="dxa"/>
              <w:left w:w="100" w:type="dxa"/>
              <w:right w:w="100" w:type="dxa"/>
            </w:tcMar>
          </w:tcPr>
          <w:p>
            <w:pPr>
              <w:keepNext/>
              <w:spacing w:after="0"/>
            </w:pPr>
            <w:r>
              <w:rPr>
                <w:rFonts w:ascii="Calibri" w:hAnsi="Calibri"/>
                <w:b/>
                <w:color w:val="FFFFFF"/>
                <w:sz w:val="20"/>
              </w:rPr>
              <w:t>LayoutLMv1</w:t>
            </w:r>
          </w:p>
        </w:tc>
        <w:tc>
          <w:tcPr>
            <w:tcW w:type="dxa" w:w="1872"/>
            <w:vAlign w:val="center"/>
            <w:shd w:fill="1B365D"/>
            <w:tcMar>
              <w:top w:w="120" w:type="dxa"/>
              <w:bottom w:w="120" w:type="dxa"/>
              <w:left w:w="100" w:type="dxa"/>
              <w:right w:w="100" w:type="dxa"/>
            </w:tcMar>
          </w:tcPr>
          <w:p>
            <w:pPr>
              <w:keepNext/>
              <w:spacing w:after="0"/>
            </w:pPr>
            <w:r>
              <w:rPr>
                <w:rFonts w:ascii="Calibri" w:hAnsi="Calibri"/>
                <w:b/>
                <w:color w:val="FFFFFF"/>
                <w:sz w:val="20"/>
              </w:rPr>
              <w:t>LayoutLMv2</w:t>
            </w:r>
          </w:p>
        </w:tc>
        <w:tc>
          <w:tcPr>
            <w:tcW w:type="dxa" w:w="1872"/>
            <w:vAlign w:val="center"/>
            <w:shd w:fill="1B365D"/>
            <w:tcMar>
              <w:top w:w="120" w:type="dxa"/>
              <w:bottom w:w="120" w:type="dxa"/>
              <w:left w:w="100" w:type="dxa"/>
              <w:right w:w="100" w:type="dxa"/>
            </w:tcMar>
          </w:tcPr>
          <w:p>
            <w:pPr>
              <w:keepNext/>
              <w:spacing w:after="0"/>
            </w:pPr>
            <w:r>
              <w:rPr>
                <w:rFonts w:ascii="Calibri" w:hAnsi="Calibri"/>
                <w:b/>
                <w:color w:val="FFFFFF"/>
                <w:sz w:val="20"/>
              </w:rPr>
              <w:t>LayoutLMv3</w:t>
            </w:r>
          </w:p>
        </w:tc>
        <w:tc>
          <w:tcPr>
            <w:tcW w:type="dxa" w:w="1872"/>
            <w:vAlign w:val="center"/>
            <w:shd w:fill="1B365D"/>
            <w:tcMar>
              <w:top w:w="120" w:type="dxa"/>
              <w:bottom w:w="120" w:type="dxa"/>
              <w:left w:w="100" w:type="dxa"/>
              <w:right w:w="100" w:type="dxa"/>
            </w:tcMar>
          </w:tcPr>
          <w:p>
            <w:pPr>
              <w:keepNext/>
              <w:spacing w:after="0"/>
            </w:pPr>
            <w:r>
              <w:rPr>
                <w:rFonts w:ascii="Calibri" w:hAnsi="Calibri"/>
                <w:b/>
                <w:color w:val="FFFFFF"/>
                <w:sz w:val="20"/>
              </w:rPr>
              <w:t>TF-IDF + LinearSVC Baseline</w:t>
            </w:r>
          </w:p>
        </w:tc>
      </w:tr>
      <w:tr>
        <w:trPr>
          <w:cantSplit/>
        </w:trPr>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Open Source License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 MIT License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Non-commercial CC BY-NC 4.0</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 MIT License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 BSD License</w:t>
            </w:r>
          </w:p>
        </w:tc>
      </w:tr>
      <w:tr>
        <w:trPr>
          <w:cantSplit/>
        </w:trPr>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CPU Friendliness</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High (Runs on standard CPUs)</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Low (Heavy vision net required)</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Moderate-High (Fast on modern CPUs)</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Ultra-High (&lt; 5ms / page)</w:t>
            </w:r>
          </w:p>
        </w:tc>
      </w:tr>
      <w:tr>
        <w:trPr>
          <w:cantSplit/>
        </w:trPr>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Local Weight Availability</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 Available on Hugging Face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Requires external visual backbone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 Available on Hugging Face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Local File Serialization (model.pkl)</w:t>
            </w:r>
          </w:p>
        </w:tc>
      </w:tr>
      <w:tr>
        <w:trPr>
          <w:cantSplit/>
        </w:trPr>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Input Modalities</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Text Tokens + 2D BBoxes</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Text + BBoxes + Images</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Text + BBoxes + Visual Patches</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Extracted Text Tokens</w:t>
            </w:r>
          </w:p>
        </w:tc>
      </w:tr>
      <w:tr>
        <w:trPr>
          <w:cantSplit/>
        </w:trPr>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Inference Latency (CPU)</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 120 ms / page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 850 ms / page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 240 ms / page</w:t>
            </w:r>
          </w:p>
        </w:tc>
        <w:tc>
          <w:tcPr>
            <w:tcW w:type="dxa" w:w="1872"/>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&lt; 5 ms / page</w:t>
            </w:r>
          </w:p>
        </w:tc>
      </w:tr>
      <w:tr>
        <w:trPr>
          <w:cantSplit/>
        </w:trPr>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Memory Footprint</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 450 MB RAM</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 1.8 GB RAM</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 500 MB RAM</w:t>
            </w:r>
          </w:p>
        </w:tc>
        <w:tc>
          <w:tcPr>
            <w:tcW w:type="dxa" w:w="1872"/>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 25 MB RAM</w:t>
            </w:r>
          </w:p>
        </w:tc>
      </w:tr>
    </w:tbl>
    <w:p>
      <w:pPr>
        <w:spacing w:after="160"/>
      </w:pPr>
    </w:p>
    <w:p>
      <w:pPr>
        <w:keepNext/>
        <w:spacing w:before="440" w:after="160"/>
      </w:pPr>
      <w:r>
        <w:rPr>
          <w:rFonts w:ascii="Calibri" w:hAnsi="Calibri"/>
          <w:b/>
          <w:color w:val="1B365D"/>
          <w:sz w:val="33"/>
        </w:rPr>
        <w:t>8. Spatial Bounding-Box Recovery &amp; 2D Grid Normalization</w:t>
      </w:r>
    </w:p>
    <w:p>
      <w:pPr>
        <w:keepNext/>
        <w:spacing w:before="280" w:after="120"/>
      </w:pPr>
      <w:r>
        <w:rPr>
          <w:rFonts w:ascii="Calibri" w:hAnsi="Calibri"/>
          <w:b/>
          <w:color w:val="2B6CB0"/>
          <w:sz w:val="26"/>
        </w:rPr>
        <w:t>8.1 Spatial Grid Coordinate Formulas</w:t>
      </w:r>
    </w:p>
    <w:tbl>
      <w:tblPr>
        <w:tblW w:type="auto" w:w="0"/>
        <w:jc w:val="center"/>
        <w:tblLook w:firstColumn="1" w:firstRow="1" w:lastColumn="0" w:lastRow="0" w:noHBand="0" w:noVBand="1" w:val="04A0"/>
      </w:tblPr>
      <w:tblGrid>
        <w:gridCol w:w="9360"/>
      </w:tblGrid>
      <w:tr>
        <w:trPr>
          <w:cantSplit/>
        </w:trPr>
        <w:tc>
          <w:tcPr>
            <w:tcW w:type="dxa" w:w="9360"/>
            <w:shd w:fill="F0F4F8"/>
            <w:tcMar>
              <w:top w:w="120" w:type="dxa"/>
              <w:bottom w:w="120" w:type="dxa"/>
              <w:left w:w="160" w:type="dxa"/>
              <w:right w:w="160" w:type="dxa"/>
            </w:tcMar>
            <w:tcBorders>
              <w:left w:val="single" w:sz="36" w:space="0" w:color="1B365D"/>
              <w:top w:val="none"/>
              <w:right w:val="none"/>
              <w:bottom w:val="none"/>
            </w:tcBorders>
          </w:tcPr>
          <w:p>
            <w:pPr>
              <w:keepLines/>
              <w:spacing w:after="80"/>
            </w:pPr>
            <w:r>
              <w:rPr>
                <w:rFonts w:ascii="Calibri" w:hAnsi="Calibri"/>
                <w:b/>
                <w:color w:val="1B365D"/>
                <w:sz w:val="22"/>
              </w:rPr>
              <w:t>2D Bounding Box Coordinate Normalization (0 - 1000 Grid)</w:t>
              <w:br/>
            </w:r>
            <w:r>
              <w:rPr>
                <w:rFonts w:ascii="Calibri" w:hAnsi="Calibri"/>
                <w:color w:val="2D3748"/>
                <w:sz w:val="20"/>
              </w:rPr>
              <w:t>Word bounding box coordinates (x1, y1, x2, y2) extracted via PyMuPDF, Tesseract, or PaddleOCR are normalized into a 1000 x 1000 spatial coordinate grid:</w:t>
              <w:br/>
              <w:br/>
              <w:t>norm_x1 = ⌊ (x1 / image_width) × 1000 ⌋</w:t>
              <w:br/>
              <w:t>norm_y1 = ⌊ (y1 / image_height) × 1000 ⌋</w:t>
              <w:br/>
              <w:t>norm_x2 = ⌊ (x2 / image_width) × 1000 ⌋</w:t>
              <w:br/>
              <w:t>norm_y2 = ⌊ (y2 / image_height) × 1000 ⌋</w:t>
              <w:br/>
              <w:br/>
              <w:t>Spatial BBox Tensor = [ norm_x1, norm_y1, norm_x2, norm_y2 ]</w:t>
            </w:r>
          </w:p>
        </w:tc>
      </w:tr>
    </w:tbl>
    <w:p>
      <w:pPr>
        <w:spacing w:after="120"/>
      </w:pPr>
    </w:p>
    <w:p>
      <w:pPr>
        <w:keepNext/>
        <w:spacing w:before="440" w:after="160"/>
      </w:pPr>
      <w:r>
        <w:rPr>
          <w:rFonts w:ascii="Calibri" w:hAnsi="Calibri"/>
          <w:b/>
          <w:color w:val="1B365D"/>
          <w:sz w:val="33"/>
        </w:rPr>
        <w:t>9. Hybrid Classification &amp; Auto-Tagging Engine</w:t>
      </w:r>
    </w:p>
    <w:p>
      <w:pPr>
        <w:keepNext/>
        <w:spacing w:before="280" w:after="120"/>
      </w:pPr>
      <w:r>
        <w:rPr>
          <w:rFonts w:ascii="Calibri" w:hAnsi="Calibri"/>
          <w:b/>
          <w:color w:val="2B6CB0"/>
          <w:sz w:val="26"/>
        </w:rPr>
        <w:t>9.1 Dual-Engine Classifier Comparison &amp; Tag Generation</w:t>
      </w:r>
    </w:p>
    <w:tbl>
      <w:tblPr>
        <w:tblW w:type="auto" w:w="0"/>
        <w:jc w:val="center"/>
        <w:tblLook w:firstColumn="1" w:firstRow="1" w:lastColumn="0" w:lastRow="0" w:noHBand="0" w:noVBand="1" w:val="04A0"/>
      </w:tblPr>
      <w:tblGrid>
        <w:gridCol w:w="3120"/>
        <w:gridCol w:w="3120"/>
        <w:gridCol w:w="3120"/>
      </w:tblGrid>
      <w:tr>
        <w:trPr>
          <w:tblHeader/>
          <w:cantSplit/>
        </w:trPr>
        <w:tc>
          <w:tcPr>
            <w:tcW w:type="dxa" w:w="3120"/>
            <w:vAlign w:val="center"/>
            <w:shd w:fill="1B365D"/>
            <w:tcMar>
              <w:top w:w="120" w:type="dxa"/>
              <w:bottom w:w="120" w:type="dxa"/>
              <w:left w:w="100" w:type="dxa"/>
              <w:right w:w="100" w:type="dxa"/>
            </w:tcMar>
          </w:tcPr>
          <w:p>
            <w:pPr>
              <w:keepNext/>
              <w:spacing w:after="0"/>
            </w:pPr>
            <w:r>
              <w:rPr>
                <w:rFonts w:ascii="Calibri" w:hAnsi="Calibri"/>
                <w:b/>
                <w:color w:val="FFFFFF"/>
                <w:sz w:val="20"/>
              </w:rPr>
              <w:t>Feature Component</w:t>
            </w:r>
          </w:p>
        </w:tc>
        <w:tc>
          <w:tcPr>
            <w:tcW w:type="dxa" w:w="3120"/>
            <w:vAlign w:val="center"/>
            <w:shd w:fill="1B365D"/>
            <w:tcMar>
              <w:top w:w="120" w:type="dxa"/>
              <w:bottom w:w="120" w:type="dxa"/>
              <w:left w:w="100" w:type="dxa"/>
              <w:right w:w="100" w:type="dxa"/>
            </w:tcMar>
          </w:tcPr>
          <w:p>
            <w:pPr>
              <w:keepNext/>
              <w:spacing w:after="0"/>
            </w:pPr>
            <w:r>
              <w:rPr>
                <w:rFonts w:ascii="Calibri" w:hAnsi="Calibri"/>
                <w:b/>
                <w:color w:val="FFFFFF"/>
                <w:sz w:val="20"/>
              </w:rPr>
              <w:t>Deterministic Keyword Pre-Classifier</w:t>
            </w:r>
          </w:p>
        </w:tc>
        <w:tc>
          <w:tcPr>
            <w:tcW w:type="dxa" w:w="3120"/>
            <w:vAlign w:val="center"/>
            <w:shd w:fill="1B365D"/>
            <w:tcMar>
              <w:top w:w="120" w:type="dxa"/>
              <w:bottom w:w="120" w:type="dxa"/>
              <w:left w:w="100" w:type="dxa"/>
              <w:right w:w="100" w:type="dxa"/>
            </w:tcMar>
          </w:tcPr>
          <w:p>
            <w:pPr>
              <w:keepNext/>
              <w:spacing w:after="0"/>
            </w:pPr>
            <w:r>
              <w:rPr>
                <w:rFonts w:ascii="Calibri" w:hAnsi="Calibri"/>
                <w:b/>
                <w:color w:val="FFFFFF"/>
                <w:sz w:val="20"/>
              </w:rPr>
              <w:t>Multimodal LayoutLM Transformer</w:t>
            </w:r>
          </w:p>
        </w:tc>
      </w:tr>
      <w:tr>
        <w:trPr>
          <w:cantSplit/>
        </w:trPr>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Execution Trigger</w:t>
            </w:r>
          </w:p>
        </w:tc>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Runs first during pre-processing</w:t>
            </w:r>
          </w:p>
        </w:tc>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Runs during main neural prediction</w:t>
            </w:r>
          </w:p>
        </w:tc>
      </w:tr>
      <w:tr>
        <w:trPr>
          <w:cantSplit/>
        </w:trPr>
        <w:tc>
          <w:tcPr>
            <w:tcW w:type="dxa" w:w="312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Detection Mechanism</w:t>
            </w:r>
          </w:p>
        </w:tc>
        <w:tc>
          <w:tcPr>
            <w:tcW w:type="dxa" w:w="312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Exact &amp; Fuzzy Domain Keyword Regex Signatures</w:t>
            </w:r>
          </w:p>
        </w:tc>
        <w:tc>
          <w:tcPr>
            <w:tcW w:type="dxa" w:w="312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Spatial Layout + Word Embeddings Attention</w:t>
            </w:r>
          </w:p>
        </w:tc>
      </w:tr>
      <w:tr>
        <w:trPr>
          <w:cantSplit/>
        </w:trPr>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Processing Speed</w:t>
            </w:r>
          </w:p>
        </w:tc>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Ultra-Fast (&lt; 1ms per page)</w:t>
            </w:r>
          </w:p>
        </w:tc>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Fast (~ 120ms per page on CPU)</w:t>
            </w:r>
          </w:p>
        </w:tc>
      </w:tr>
      <w:tr>
        <w:trPr>
          <w:cantSplit/>
        </w:trPr>
        <w:tc>
          <w:tcPr>
            <w:tcW w:type="dxa" w:w="312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Primary Strength</w:t>
            </w:r>
          </w:p>
        </w:tc>
        <w:tc>
          <w:tcPr>
            <w:tcW w:type="dxa" w:w="312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Instant classification of standard structured forms</w:t>
            </w:r>
          </w:p>
        </w:tc>
        <w:tc>
          <w:tcPr>
            <w:tcW w:type="dxa" w:w="312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Handles layout variations &amp; unstructured documents</w:t>
            </w:r>
          </w:p>
        </w:tc>
      </w:tr>
      <w:tr>
        <w:trPr>
          <w:cantSplit/>
        </w:trPr>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Confidence Impact</w:t>
            </w:r>
          </w:p>
        </w:tc>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Boosts class confidence score for verified matches</w:t>
            </w:r>
          </w:p>
        </w:tc>
        <w:tc>
          <w:tcPr>
            <w:tcW w:type="dxa" w:w="312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Provides calibrated Softmax probability distribution</w:t>
            </w:r>
          </w:p>
        </w:tc>
      </w:tr>
    </w:tbl>
    <w:p>
      <w:pPr>
        <w:spacing w:after="160"/>
      </w:pPr>
    </w:p>
    <w:p>
      <w:pPr>
        <w:pStyle w:val="ListBullet"/>
        <w:spacing w:before="40" w:after="60"/>
      </w:pPr>
      <w:r>
        <w:rPr>
          <w:rFonts w:ascii="Calibri" w:hAnsi="Calibri"/>
          <w:b/>
          <w:color w:val="1B365D"/>
        </w:rPr>
        <w:t xml:space="preserve">Keyword Regex Pre-Classifier (KeywordRegexClassifier): </w:t>
      </w:r>
      <w:r>
        <w:rPr>
          <w:rFonts w:ascii="Calibri" w:hAnsi="Calibri"/>
          <w:color w:val="2D3748"/>
        </w:rPr>
        <w:t>Scans extracted text for deterministic domain signatures (e.g. PERMANENT ACCOUNT NUMBER, SANCTION LETTER, PURCHASE ORDER) to boost confidence or pre-classify documents.</w:t>
      </w:r>
    </w:p>
    <w:p>
      <w:pPr>
        <w:pStyle w:val="ListBullet"/>
        <w:spacing w:before="40" w:after="60"/>
      </w:pPr>
      <w:r>
        <w:rPr>
          <w:rFonts w:ascii="Calibri" w:hAnsi="Calibri"/>
          <w:b/>
          <w:color w:val="1B365D"/>
        </w:rPr>
        <w:t xml:space="preserve">Auto-Tagging Engine (AutoTaggingEngine): </w:t>
      </w:r>
      <w:r>
        <w:rPr>
          <w:rFonts w:ascii="Calibri" w:hAnsi="Calibri"/>
          <w:color w:val="2D3748"/>
        </w:rPr>
        <w:t>Automatically mines 4 to 8 search tags (#PAN, #KYC, #Finance, #Verified_DOB) based on text, doctype, and index values, enabling multi-facet search across filenames, doctypes, fields, or tags.</w:t>
      </w:r>
    </w:p>
    <w:p>
      <w:pPr>
        <w:keepNext/>
        <w:spacing w:before="440" w:after="160"/>
      </w:pPr>
      <w:r>
        <w:rPr>
          <w:rFonts w:ascii="Calibri" w:hAnsi="Calibri"/>
          <w:b/>
          <w:color w:val="1B365D"/>
          <w:sz w:val="33"/>
        </w:rPr>
        <w:t>10. Calibrated Dual-Path Confidence &amp; HITL Guardrails</w:t>
      </w:r>
    </w:p>
    <w:p>
      <w:pPr>
        <w:keepNext/>
        <w:spacing w:before="280" w:after="120"/>
      </w:pPr>
      <w:r>
        <w:rPr>
          <w:rFonts w:ascii="Calibri" w:hAnsi="Calibri"/>
          <w:b/>
          <w:color w:val="2B6CB0"/>
          <w:sz w:val="26"/>
        </w:rPr>
        <w:t>10.1 Safety Routing &amp; Threshold Decisioning</w:t>
      </w:r>
    </w:p>
    <w:p>
      <w:pPr>
        <w:keepNext/>
        <w:spacing w:before="280" w:after="80"/>
      </w:pPr>
      <w:r>
        <w:rPr>
          <w:rFonts w:ascii="Calibri" w:hAnsi="Calibri"/>
          <w:b/>
          <w:color w:val="1B365D"/>
          <w:sz w:val="22"/>
        </w:rPr>
        <w:t>Confidence Decision Routing Policy Diagram</w:t>
      </w:r>
    </w:p>
    <w:p>
      <w:pPr>
        <w:keepNext/>
        <w:spacing w:before="0" w:after="0" w:line="220" w:lineRule="exact"/>
        <w:ind w:left="288"/>
        <w:pBdr>
          <w:left w:val="single" w:sz="18" w:space="8" w:color="2B6CB0"/>
        </w:pBdr>
      </w:pPr>
      <w:r>
        <w:rPr>
          <w:rFonts w:ascii="Consolas" w:hAnsi="Consolas"/>
          <w:color w:val="1E293B"/>
          <w:sz w:val="17"/>
        </w:rPr>
        <w:t>Prediction Logits &amp; Softmax Calculation</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Confidence Score Check (C)</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                                                 ▼</w:t>
      </w:r>
    </w:p>
    <w:p>
      <w:pPr>
        <w:keepNext/>
        <w:spacing w:before="0" w:after="0" w:line="220" w:lineRule="exact"/>
        <w:ind w:left="288"/>
        <w:pBdr>
          <w:left w:val="single" w:sz="18" w:space="8" w:color="2B6CB0"/>
        </w:pBdr>
      </w:pPr>
      <w:r>
        <w:rPr>
          <w:rFonts w:ascii="Consolas" w:hAnsi="Consolas"/>
          <w:color w:val="1E293B"/>
          <w:sz w:val="17"/>
        </w:rPr>
        <w:t xml:space="preserve">   C ≥ 0.90 &amp; Rules Valid                            C &lt; 0.90 OR Unknown</w:t>
      </w:r>
    </w:p>
    <w:p>
      <w:pPr>
        <w:keepNext/>
        <w:spacing w:before="0" w:after="0" w:line="220" w:lineRule="exact"/>
        <w:ind w:left="288"/>
        <w:pBdr>
          <w:left w:val="single" w:sz="18" w:space="8" w:color="2B6CB0"/>
        </w:pBdr>
      </w:pPr>
      <w:r>
        <w:rPr>
          <w:rFonts w:ascii="Consolas" w:hAnsi="Consolas"/>
          <w:color w:val="1E293B"/>
          <w:sz w:val="17"/>
        </w:rPr>
        <w:t xml:space="preserve">        │                                                 │</w:t>
      </w:r>
    </w:p>
    <w:p>
      <w:pPr>
        <w:keepNext/>
        <w:spacing w:before="0" w:after="0" w:line="220" w:lineRule="exact"/>
        <w:ind w:left="288"/>
        <w:pBdr>
          <w:left w:val="single" w:sz="18" w:space="8" w:color="2B6CB0"/>
        </w:pBdr>
      </w:pPr>
      <w:r>
        <w:rPr>
          <w:rFonts w:ascii="Consolas" w:hAnsi="Consolas"/>
          <w:color w:val="1E293B"/>
          <w:sz w:val="17"/>
        </w:rPr>
        <w:t xml:space="preserve">        ▼                                                 ▼</w:t>
      </w:r>
    </w:p>
    <w:p>
      <w:pPr>
        <w:keepNext/>
        <w:spacing w:before="0" w:after="0" w:line="220" w:lineRule="exact"/>
        <w:ind w:left="288"/>
        <w:pBdr>
          <w:left w:val="single" w:sz="18" w:space="8" w:color="2B6CB0"/>
        </w:pBdr>
      </w:pPr>
      <w:r>
        <w:rPr>
          <w:rFonts w:ascii="Consolas" w:hAnsi="Consolas"/>
          <w:color w:val="1E293B"/>
          <w:sz w:val="17"/>
        </w:rPr>
        <w:t xml:space="preserve">  HIGH CONFIDENCE PATH                              LOW CONFIDENCE PATH</w:t>
      </w:r>
    </w:p>
    <w:p>
      <w:pPr>
        <w:keepNext/>
        <w:spacing w:before="0" w:after="0" w:line="220" w:lineRule="exact"/>
        <w:ind w:left="288"/>
        <w:pBdr>
          <w:left w:val="single" w:sz="18" w:space="8" w:color="2B6CB0"/>
        </w:pBdr>
      </w:pPr>
      <w:r>
        <w:rPr>
          <w:rFonts w:ascii="Consolas" w:hAnsi="Consolas"/>
          <w:color w:val="1E293B"/>
          <w:sz w:val="17"/>
        </w:rPr>
        <w:t xml:space="preserve">  File in Pre-existing DMS                          Human Review Queue (HITL)</w:t>
      </w:r>
    </w:p>
    <w:p>
      <w:pPr>
        <w:keepNext/>
        <w:spacing w:before="0" w:after="0" w:line="220" w:lineRule="exact"/>
        <w:ind w:left="288"/>
        <w:pBdr>
          <w:left w:val="single" w:sz="18" w:space="8" w:color="2B6CB0"/>
        </w:pBdr>
      </w:pPr>
      <w:r>
        <w:rPr>
          <w:rFonts w:ascii="Consolas" w:hAnsi="Consolas"/>
          <w:color w:val="1E293B"/>
          <w:sz w:val="17"/>
        </w:rPr>
        <w:t xml:space="preserve">  (Pre-defined Cabinet/Drawer)                      (Workspace Inspector Panel)</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User Saves Corrections</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spacing w:before="0" w:after="0" w:line="220" w:lineRule="exact"/>
        <w:ind w:left="288"/>
        <w:pBdr>
          <w:left w:val="single" w:sz="18" w:space="8" w:color="2B6CB0"/>
        </w:pBdr>
      </w:pPr>
      <w:r>
        <w:rPr>
          <w:rFonts w:ascii="Consolas" w:hAnsi="Consolas"/>
          <w:color w:val="1E293B"/>
          <w:sz w:val="17"/>
        </w:rPr>
        <w:t xml:space="preserve">                                                   Active Learning Trigger</w:t>
      </w:r>
    </w:p>
    <w:p>
      <w:pPr>
        <w:spacing w:after="160"/>
      </w:pPr>
    </w:p>
    <w:p>
      <w:pPr>
        <w:keepNext/>
        <w:spacing w:before="440" w:after="160"/>
      </w:pPr>
      <w:r>
        <w:rPr>
          <w:rFonts w:ascii="Calibri" w:hAnsi="Calibri"/>
          <w:b/>
          <w:color w:val="1B365D"/>
          <w:sz w:val="33"/>
        </w:rPr>
        <w:t>11. 3-Stage Progressive Transfer Learning &amp; Active Learning</w:t>
      </w:r>
    </w:p>
    <w:p>
      <w:pPr>
        <w:keepNext/>
        <w:spacing w:before="280" w:after="120"/>
      </w:pPr>
      <w:r>
        <w:rPr>
          <w:rFonts w:ascii="Calibri" w:hAnsi="Calibri"/>
          <w:b/>
          <w:color w:val="2B6CB0"/>
          <w:sz w:val="26"/>
        </w:rPr>
        <w:t>11.1 Progressive Training Strategy</w:t>
      </w:r>
    </w:p>
    <w:p>
      <w:pPr>
        <w:keepNext/>
        <w:spacing w:before="280" w:after="80"/>
      </w:pPr>
      <w:r>
        <w:rPr>
          <w:rFonts w:ascii="Calibri" w:hAnsi="Calibri"/>
          <w:b/>
          <w:color w:val="1B365D"/>
          <w:sz w:val="22"/>
        </w:rPr>
        <w:t>3-Stage Transfer Learning Progression</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Stage 1: Public Corpus Pre-Training                      │</w:t>
      </w:r>
    </w:p>
    <w:p>
      <w:pPr>
        <w:keepNext/>
        <w:spacing w:before="0" w:after="0" w:line="220" w:lineRule="exact"/>
        <w:ind w:left="288"/>
        <w:pBdr>
          <w:left w:val="single" w:sz="18" w:space="8" w:color="2B6CB0"/>
        </w:pBdr>
      </w:pPr>
      <w:r>
        <w:rPr>
          <w:rFonts w:ascii="Consolas" w:hAnsi="Consolas"/>
          <w:color w:val="1E293B"/>
          <w:sz w:val="17"/>
        </w:rPr>
        <w:t>│ (RVL-CDIP 400k Pages + FUNSD + SROIE + CORD)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Stage 2: BFSI Domain Adaptation                          │</w:t>
      </w:r>
    </w:p>
    <w:p>
      <w:pPr>
        <w:keepNext/>
        <w:spacing w:before="0" w:after="0" w:line="220" w:lineRule="exact"/>
        <w:ind w:left="288"/>
        <w:pBdr>
          <w:left w:val="single" w:sz="18" w:space="8" w:color="2B6CB0"/>
        </w:pBdr>
      </w:pPr>
      <w:r>
        <w:rPr>
          <w:rFonts w:ascii="Consolas" w:hAnsi="Consolas"/>
          <w:color w:val="1E293B"/>
          <w:sz w:val="17"/>
        </w:rPr>
        <w:t>│ (BankSec-2023 + Indian Banking Statements &amp; KYC Corpus)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 xml:space="preserve">                             ▼</w:t>
      </w:r>
    </w:p>
    <w:p>
      <w:pPr>
        <w:keepNext/>
        <w:spacing w:before="0" w:after="0" w:line="220" w:lineRule="exact"/>
        <w:ind w:left="288"/>
        <w:pBdr>
          <w:left w:val="single" w:sz="18" w:space="8" w:color="2B6CB0"/>
        </w:pBdr>
      </w:pPr>
      <w:r>
        <w:rPr>
          <w:rFonts w:ascii="Consolas" w:hAnsi="Consolas"/>
          <w:color w:val="1E293B"/>
          <w:sz w:val="17"/>
        </w:rPr>
        <w:t>┌──────────────────────────────────────────────────────────┐</w:t>
      </w:r>
    </w:p>
    <w:p>
      <w:pPr>
        <w:keepNext/>
        <w:spacing w:before="0" w:after="0" w:line="220" w:lineRule="exact"/>
        <w:ind w:left="288"/>
        <w:pBdr>
          <w:left w:val="single" w:sz="18" w:space="8" w:color="2B6CB0"/>
        </w:pBdr>
      </w:pPr>
      <w:r>
        <w:rPr>
          <w:rFonts w:ascii="Consolas" w:hAnsi="Consolas"/>
          <w:color w:val="1E293B"/>
          <w:sz w:val="17"/>
        </w:rPr>
        <w:t>│ Stage 3: Active Learning Client Fine-Tuning              │</w:t>
      </w:r>
    </w:p>
    <w:p>
      <w:pPr>
        <w:keepNext/>
        <w:spacing w:before="0" w:after="0" w:line="220" w:lineRule="exact"/>
        <w:ind w:left="288"/>
        <w:pBdr>
          <w:left w:val="single" w:sz="18" w:space="8" w:color="2B6CB0"/>
        </w:pBdr>
      </w:pPr>
      <w:r>
        <w:rPr>
          <w:rFonts w:ascii="Consolas" w:hAnsi="Consolas"/>
          <w:color w:val="1E293B"/>
          <w:sz w:val="17"/>
        </w:rPr>
        <w:t>│ (Human Corrections logged to hitl_feedback_store.json)   │</w:t>
      </w:r>
    </w:p>
    <w:p>
      <w:pPr>
        <w:spacing w:before="0" w:after="0" w:line="220" w:lineRule="exact"/>
        <w:ind w:left="288"/>
        <w:pBdr>
          <w:left w:val="single" w:sz="18" w:space="8" w:color="2B6CB0"/>
        </w:pBdr>
      </w:pPr>
      <w:r>
        <w:rPr>
          <w:rFonts w:ascii="Consolas" w:hAnsi="Consolas"/>
          <w:color w:val="1E293B"/>
          <w:sz w:val="17"/>
        </w:rPr>
        <w:t>└────────────────────────────┬─────────────────────────────┘</w:t>
      </w:r>
    </w:p>
    <w:p>
      <w:pPr>
        <w:spacing w:after="160"/>
      </w:pPr>
    </w:p>
    <w:p>
      <w:pPr>
        <w:pStyle w:val="ListBullet"/>
        <w:spacing w:before="40" w:after="60"/>
      </w:pPr>
      <w:r>
        <w:rPr>
          <w:rFonts w:ascii="Calibri" w:hAnsi="Calibri"/>
          <w:b/>
          <w:color w:val="1B365D"/>
        </w:rPr>
        <w:t xml:space="preserve">Correction Logging: </w:t>
      </w:r>
      <w:r>
        <w:rPr>
          <w:rFonts w:ascii="Calibri" w:hAnsi="Calibri"/>
          <w:color w:val="2D3748"/>
        </w:rPr>
        <w:t>Every user correction on doctypes, index fields, or tags is logged to hitl_feedback_store.json.</w:t>
      </w:r>
    </w:p>
    <w:p>
      <w:pPr>
        <w:pStyle w:val="ListBullet"/>
        <w:spacing w:before="40" w:after="60"/>
      </w:pPr>
      <w:r>
        <w:rPr>
          <w:rFonts w:ascii="Calibri" w:hAnsi="Calibri"/>
          <w:b/>
          <w:color w:val="1B365D"/>
        </w:rPr>
        <w:t xml:space="preserve">Active Learning Sampler: </w:t>
      </w:r>
      <w:r>
        <w:rPr>
          <w:rFonts w:ascii="Calibri" w:hAnsi="Calibri"/>
          <w:color w:val="2D3748"/>
        </w:rPr>
        <w:t>Uncertainty sampling isolates high-leverage samples for fine-tuning.</w:t>
      </w:r>
    </w:p>
    <w:p>
      <w:pPr>
        <w:pStyle w:val="ListBullet"/>
        <w:spacing w:before="40" w:after="60"/>
      </w:pPr>
      <w:r>
        <w:rPr>
          <w:rFonts w:ascii="Calibri" w:hAnsi="Calibri"/>
          <w:b/>
          <w:color w:val="1B365D"/>
        </w:rPr>
        <w:t xml:space="preserve">Background Fine-Tuning: </w:t>
      </w:r>
      <w:r>
        <w:rPr>
          <w:rFonts w:ascii="Calibri" w:hAnsi="Calibri"/>
          <w:color w:val="2D3748"/>
        </w:rPr>
        <w:t>Background threads run gradient updates without interrupting live inference APIs.</w:t>
      </w:r>
    </w:p>
    <w:p>
      <w:pPr>
        <w:pStyle w:val="ListBullet"/>
        <w:spacing w:before="40" w:after="60"/>
      </w:pPr>
      <w:r>
        <w:rPr>
          <w:rFonts w:ascii="Calibri" w:hAnsi="Calibri"/>
          <w:b/>
          <w:color w:val="1B365D"/>
        </w:rPr>
        <w:t xml:space="preserve">Version Hot-Reloading: </w:t>
      </w:r>
      <w:r>
        <w:rPr>
          <w:rFonts w:ascii="Calibri" w:hAnsi="Calibri"/>
          <w:color w:val="2D3748"/>
        </w:rPr>
        <w:t>Updated checkpoint weights are hot-reloaded automatically.</w:t>
      </w:r>
    </w:p>
    <w:p>
      <w:pPr>
        <w:keepNext/>
        <w:spacing w:before="440" w:after="160"/>
      </w:pPr>
      <w:r>
        <w:rPr>
          <w:rFonts w:ascii="Calibri" w:hAnsi="Calibri"/>
          <w:b/>
          <w:color w:val="1B365D"/>
          <w:sz w:val="33"/>
        </w:rPr>
        <w:t>12. Public Datasets Compilation &amp; Banking Alignment Ranking</w:t>
      </w:r>
    </w:p>
    <w:p>
      <w:pPr>
        <w:keepNext/>
        <w:spacing w:before="280" w:after="120"/>
      </w:pPr>
      <w:r>
        <w:rPr>
          <w:rFonts w:ascii="Calibri" w:hAnsi="Calibri"/>
          <w:b/>
          <w:color w:val="2B6CB0"/>
          <w:sz w:val="26"/>
        </w:rPr>
        <w:t>12.1 Audit &amp; Ranking of Top 10 Benchmark Datasets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560"/>
            <w:vAlign w:val="center"/>
            <w:shd w:fill="1B365D"/>
            <w:tcMar>
              <w:top w:w="120" w:type="dxa"/>
              <w:bottom w:w="120" w:type="dxa"/>
              <w:left w:w="100" w:type="dxa"/>
              <w:right w:w="100" w:type="dxa"/>
            </w:tcMar>
          </w:tcPr>
          <w:p>
            <w:pPr>
              <w:keepNext/>
              <w:spacing w:after="0"/>
            </w:pPr>
            <w:r>
              <w:rPr>
                <w:rFonts w:ascii="Calibri" w:hAnsi="Calibri"/>
                <w:b/>
                <w:color w:val="FFFFFF"/>
                <w:sz w:val="20"/>
              </w:rPr>
              <w:t>Rank</w:t>
            </w:r>
          </w:p>
        </w:tc>
        <w:tc>
          <w:tcPr>
            <w:tcW w:type="dxa" w:w="1560"/>
            <w:vAlign w:val="center"/>
            <w:shd w:fill="1B365D"/>
            <w:tcMar>
              <w:top w:w="120" w:type="dxa"/>
              <w:bottom w:w="120" w:type="dxa"/>
              <w:left w:w="100" w:type="dxa"/>
              <w:right w:w="100" w:type="dxa"/>
            </w:tcMar>
          </w:tcPr>
          <w:p>
            <w:pPr>
              <w:keepNext/>
              <w:spacing w:after="0"/>
            </w:pPr>
            <w:r>
              <w:rPr>
                <w:rFonts w:ascii="Calibri" w:hAnsi="Calibri"/>
                <w:b/>
                <w:color w:val="FFFFFF"/>
                <w:sz w:val="20"/>
              </w:rPr>
              <w:t>Dataset Name</w:t>
            </w:r>
          </w:p>
        </w:tc>
        <w:tc>
          <w:tcPr>
            <w:tcW w:type="dxa" w:w="1560"/>
            <w:vAlign w:val="center"/>
            <w:shd w:fill="1B365D"/>
            <w:tcMar>
              <w:top w:w="120" w:type="dxa"/>
              <w:bottom w:w="120" w:type="dxa"/>
              <w:left w:w="100" w:type="dxa"/>
              <w:right w:w="100" w:type="dxa"/>
            </w:tcMar>
          </w:tcPr>
          <w:p>
            <w:pPr>
              <w:keepNext/>
              <w:spacing w:after="0"/>
            </w:pPr>
            <w:r>
              <w:rPr>
                <w:rFonts w:ascii="Calibri" w:hAnsi="Calibri"/>
                <w:b/>
                <w:color w:val="FFFFFF"/>
                <w:sz w:val="20"/>
              </w:rPr>
              <w:t>Focus Area</w:t>
            </w:r>
          </w:p>
        </w:tc>
        <w:tc>
          <w:tcPr>
            <w:tcW w:type="dxa" w:w="1560"/>
            <w:vAlign w:val="center"/>
            <w:shd w:fill="1B365D"/>
            <w:tcMar>
              <w:top w:w="120" w:type="dxa"/>
              <w:bottom w:w="120" w:type="dxa"/>
              <w:left w:w="100" w:type="dxa"/>
              <w:right w:w="100" w:type="dxa"/>
            </w:tcMar>
          </w:tcPr>
          <w:p>
            <w:pPr>
              <w:keepNext/>
              <w:spacing w:after="0"/>
            </w:pPr>
            <w:r>
              <w:rPr>
                <w:rFonts w:ascii="Calibri" w:hAnsi="Calibri"/>
                <w:b/>
                <w:color w:val="FFFFFF"/>
                <w:sz w:val="20"/>
              </w:rPr>
              <w:t>Document Count</w:t>
            </w:r>
          </w:p>
        </w:tc>
        <w:tc>
          <w:tcPr>
            <w:tcW w:type="dxa" w:w="1560"/>
            <w:vAlign w:val="center"/>
            <w:shd w:fill="1B365D"/>
            <w:tcMar>
              <w:top w:w="120" w:type="dxa"/>
              <w:bottom w:w="120" w:type="dxa"/>
              <w:left w:w="100" w:type="dxa"/>
              <w:right w:w="100" w:type="dxa"/>
            </w:tcMar>
          </w:tcPr>
          <w:p>
            <w:pPr>
              <w:keepNext/>
              <w:spacing w:after="0"/>
            </w:pPr>
            <w:r>
              <w:rPr>
                <w:rFonts w:ascii="Calibri" w:hAnsi="Calibri"/>
                <w:b/>
                <w:color w:val="FFFFFF"/>
                <w:sz w:val="20"/>
              </w:rPr>
              <w:t>Banking Alignment</w:t>
            </w:r>
          </w:p>
        </w:tc>
        <w:tc>
          <w:tcPr>
            <w:tcW w:type="dxa" w:w="1560"/>
            <w:vAlign w:val="center"/>
            <w:shd w:fill="1B365D"/>
            <w:tcMar>
              <w:top w:w="120" w:type="dxa"/>
              <w:bottom w:w="120" w:type="dxa"/>
              <w:left w:w="100" w:type="dxa"/>
              <w:right w:w="100" w:type="dxa"/>
            </w:tcMar>
          </w:tcPr>
          <w:p>
            <w:pPr>
              <w:keepNext/>
              <w:spacing w:after="0"/>
            </w:pPr>
            <w:r>
              <w:rPr>
                <w:rFonts w:ascii="Calibri" w:hAnsi="Calibri"/>
                <w:b/>
                <w:color w:val="FFFFFF"/>
                <w:sz w:val="20"/>
              </w:rPr>
              <w:t>Recommended Usage</w:t>
            </w:r>
          </w:p>
        </w:tc>
      </w:tr>
      <w:tr>
        <w:trPr>
          <w:cantSplit/>
        </w:trPr>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FUNSD</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Forms &amp; Key-Value Links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199 forms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9.8 / 10</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Key-value extraction &amp; spatial fine-tuning</w:t>
            </w:r>
          </w:p>
        </w:tc>
      </w:tr>
      <w:tr>
        <w:trPr>
          <w:cantSplit/>
        </w:trPr>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2</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SROIE</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Scanned Receipts &amp; Invoices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1,000 receipts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9.5 / 10</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Invoice classification &amp; total amount parsing</w:t>
            </w:r>
          </w:p>
        </w:tc>
      </w:tr>
      <w:tr>
        <w:trPr>
          <w:cantSplit/>
        </w:trPr>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3</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CORD</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Hierarchical Receipt Parsing</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1,000 receipts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9.3 / 10</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Complex receipt breakdown extraction</w:t>
            </w:r>
          </w:p>
        </w:tc>
      </w:tr>
      <w:tr>
        <w:trPr>
          <w:cantSplit/>
        </w:trPr>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4</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RVL-CDIP</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Multi-class Documents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400,000 images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9.0 / 10</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General document layout pre-training</w:t>
            </w:r>
          </w:p>
        </w:tc>
      </w:tr>
      <w:tr>
        <w:trPr>
          <w:cantSplit/>
        </w:trPr>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5</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Kleister-NDA</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Financial &amp; Legal Contracts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540 documents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8.8 / 10</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Loan agreement &amp; legal contract indexing</w:t>
            </w:r>
          </w:p>
        </w:tc>
      </w:tr>
      <w:tr>
        <w:trPr>
          <w:cantSplit/>
        </w:trPr>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6</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BankSec-2023</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Banking KYC &amp; Statements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5,000 pages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8.5 / 10</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Banking KYC &amp; statement domain adaptation</w:t>
            </w:r>
          </w:p>
        </w:tc>
      </w:tr>
      <w:tr>
        <w:trPr>
          <w:cantSplit/>
        </w:trPr>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7</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DocVQA</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Spatial Document VQA</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12,000 pages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8.2 / 10</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Complex visual spatial reasoning</w:t>
            </w:r>
          </w:p>
        </w:tc>
      </w:tr>
      <w:tr>
        <w:trPr>
          <w:cantSplit/>
        </w:trPr>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8</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Tobacco-3482</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Enterprise Unstructured Docs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3,482 images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8.0 / 10</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General layout baseline benchmarking</w:t>
            </w:r>
          </w:p>
        </w:tc>
      </w:tr>
      <w:tr>
        <w:trPr>
          <w:cantSplit/>
        </w:trPr>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9</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XFUND</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Multilingual Forms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1,190 forms</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7.8 / 10</w:t>
            </w:r>
          </w:p>
        </w:tc>
        <w:tc>
          <w:tcPr>
            <w:tcW w:type="dxa" w:w="1560"/>
            <w:vAlign w:val="center"/>
            <w:shd w:fill="FFFFFF"/>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Multi-language form parsing</w:t>
            </w:r>
          </w:p>
        </w:tc>
      </w:tr>
      <w:tr>
        <w:trPr>
          <w:cantSplit/>
        </w:trPr>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MIDV-2020</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Identity Cards &amp; Passports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1,000 IDs</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7.5 / 10</w:t>
            </w:r>
          </w:p>
        </w:tc>
        <w:tc>
          <w:tcPr>
            <w:tcW w:type="dxa" w:w="1560"/>
            <w:vAlign w:val="center"/>
            <w:shd w:fill="F8FAFC"/>
            <w:tcMar>
              <w:top w:w="80" w:type="dxa"/>
              <w:bottom w:w="80" w:type="dxa"/>
              <w:left w:w="90" w:type="dxa"/>
              <w:right w:w="90" w:type="dxa"/>
            </w:tcMar>
            <w:tcBorders>
              <w:left w:val="single" w:sz="4" w:space="0" w:color="E2E8F0"/>
              <w:top w:val="single" w:sz="4" w:space="0" w:color="E2E8F0"/>
              <w:right w:val="single" w:sz="4" w:space="0" w:color="E2E8F0"/>
              <w:bottom w:val="single" w:sz="4" w:space="0" w:color="E2E8F0"/>
            </w:tcBorders>
          </w:tcPr>
          <w:p>
            <w:pPr>
              <w:spacing w:after="0"/>
            </w:pPr>
            <w:r>
              <w:rPr>
                <w:rFonts w:ascii="Calibri" w:hAnsi="Calibri"/>
                <w:color w:val="2D3748"/>
                <w:sz w:val="19"/>
              </w:rPr>
              <w:t>PAN_Card &amp; Identity_Proof layout training</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