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Example 10 - Regular SQL Queries</w:t>
      </w:r>
    </w:p>
    <w:p>
      <w:pPr>
        <w:pStyle w:val="Normal"/>
        <w:rPr/>
      </w:pPr>
      <w:r>
        <w:rPr/>
        <w:t>This example shows how to run regular SQL queies that do not return a result set. For SQL selects see example 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SQL include DML (update, delete, insert, truncate, etc.) as well as DDL (create, drop, alter, etc.) SQL statements.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queries must be configured in the configuration file. See the reference section for details on their syntax and how to define their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SQL queries are exposed in the DAOs as simple java methods with the configured java parameters.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Regular SQL Queries share the syntax with Native SQL and Dynamic SQL</w:t>
      </w:r>
      <w:r>
        <w:rPr/>
        <w:t>. T</w:t>
      </w:r>
      <w:r>
        <w:rPr/>
        <w:t>hey can be combined all at once when creating SQL statements.</w:t>
      </w:r>
    </w:p>
    <w:p>
      <w:pPr>
        <w:pStyle w:val="Heading2"/>
        <w:rPr/>
      </w:pPr>
      <w:r>
        <w:rPr/>
        <w:t>How to Run this example</w:t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 xml:space="preserve">Example 10 </w:t>
      </w:r>
      <w:r>
        <w:rPr/>
        <w:t xml:space="preserve">is included in the download package. To run this example please refer to the section </w:t>
      </w:r>
      <w:r>
        <w:rPr>
          <w:color w:val="3333FF"/>
          <w:u w:val="single"/>
        </w:rPr>
        <w:t>How to Run the Examples</w:t>
      </w:r>
      <w:r>
        <w:rPr/>
        <w:t xml:space="preserve"> above.</w:t>
      </w:r>
    </w:p>
    <w:p>
      <w:pPr>
        <w:pStyle w:val="Heading2"/>
        <w:rPr/>
      </w:pPr>
      <w:r>
        <w:rPr/>
        <w:t>Case #1: Update with no parameters</w:t>
      </w:r>
    </w:p>
    <w:p>
      <w:pPr>
        <w:pStyle w:val="Normal"/>
        <w:rPr/>
      </w:pPr>
      <w:r>
        <w:rPr/>
        <w:t xml:space="preserve">This case runs a SQL update to update a column on the client table. It's exposed as the </w:t>
      </w:r>
      <w:r>
        <w:rPr>
          <w:rStyle w:val="Source"/>
        </w:rPr>
        <w:t>computeTotalPurchased()</w:t>
      </w:r>
      <w:r>
        <w:rPr/>
        <w:t xml:space="preserve"> method on the </w:t>
      </w:r>
      <w:r>
        <w:rPr>
          <w:rStyle w:val="Source"/>
        </w:rPr>
        <w:t>ClientDAO</w:t>
      </w:r>
      <w:r>
        <w:rPr/>
        <w:t>.</w:t>
      </w:r>
    </w:p>
    <w:p>
      <w:pPr>
        <w:pStyle w:val="Heading2"/>
        <w:rPr/>
      </w:pPr>
      <w:bookmarkStart w:id="0" w:name="__DdeLink__1133_7579575171"/>
      <w:bookmarkEnd w:id="0"/>
      <w:r>
        <w:rPr/>
        <w:t>Case #2: Complex update using parameters</w:t>
      </w:r>
    </w:p>
    <w:p>
      <w:pPr>
        <w:pStyle w:val="Normal"/>
        <w:rPr/>
      </w:pPr>
      <w:r>
        <w:rPr/>
        <w:t xml:space="preserve">All the complexity of the SQL is hidden from the java code. It's simply exposed as the </w:t>
      </w:r>
      <w:r>
        <w:rPr>
          <w:rStyle w:val="Source"/>
        </w:rPr>
        <w:t>upgradeToVIP(Integer minPurchases)</w:t>
      </w:r>
      <w:r>
        <w:rPr/>
        <w:t xml:space="preserve"> method on the </w:t>
      </w:r>
      <w:r>
        <w:rPr>
          <w:rStyle w:val="Source"/>
        </w:rPr>
        <w:t>ClientDAO</w:t>
      </w:r>
      <w:r>
        <w:rPr/>
        <w:t>.</w:t>
      </w:r>
    </w:p>
    <w:p>
      <w:pPr>
        <w:pStyle w:val="Heading2"/>
        <w:rPr/>
      </w:pPr>
      <w:r>
        <w:rPr/>
        <w:t>Case #3: Delete using parameters</w:t>
      </w:r>
    </w:p>
    <w:p>
      <w:pPr>
        <w:pStyle w:val="Normal"/>
        <w:rPr/>
      </w:pPr>
      <w:r>
        <w:rPr/>
        <w:t xml:space="preserve">All the complexity of the non-trivial SQL delete is hidden from the java code. It's exposed as the </w:t>
      </w:r>
      <w:r>
        <w:rPr>
          <w:rStyle w:val="Source"/>
        </w:rPr>
        <w:t>deleteInactiveClients(java.sql.Data createdBefore)</w:t>
      </w:r>
      <w:r>
        <w:rPr/>
        <w:t xml:space="preserve"> method on the </w:t>
      </w:r>
      <w:r>
        <w:rPr>
          <w:rStyle w:val="Source"/>
        </w:rPr>
        <w:t>ClientDAO</w:t>
      </w:r>
      <w:r>
        <w:rPr/>
        <w:t>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07.13-example-10.docx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</TotalTime>
  <Application>LibreOffice/5.0.4.2$Linux_X86_64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2017-03-05T13:34:30Z</dcterms:modified>
  <cp:revision>135</cp:revision>
</cp:coreProperties>
</file>