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>Example 13 - Native SQL Selects</w:t>
      </w:r>
    </w:p>
    <w:p>
      <w:pPr>
        <w:pStyle w:val="Normal"/>
        <w:rPr/>
      </w:pPr>
      <w:r>
        <w:rPr/>
        <w:t>This example shows how to run native SQL statements.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Native SQL shares the syntax with Regular SQL and Dynamic SQL. They can be combined all at once when creating SQL statements.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SQL selects can include </w:t>
      </w:r>
      <w:r>
        <w:rPr>
          <w:rStyle w:val="Source"/>
        </w:rPr>
        <w:t>&lt;column&gt;</w:t>
      </w:r>
      <w:r>
        <w:rPr/>
        <w:t xml:space="preserve"> tags to force the Java name and Java type of the result set. When included they need to be included outside the CDATA section, if any.</w:t>
      </w:r>
    </w:p>
    <w:p>
      <w:pPr>
        <w:pStyle w:val="Heading2"/>
        <w:rPr/>
      </w:pPr>
      <w:r>
        <w:rPr/>
        <w:t>How to Run this example</w:t>
      </w:r>
    </w:p>
    <w:p>
      <w:pPr>
        <w:pStyle w:val="Normal"/>
        <w:rPr/>
      </w:pPr>
      <w:r>
        <w:rPr/>
        <w:t xml:space="preserve">The </w:t>
      </w:r>
      <w:r>
        <w:rPr>
          <w:b/>
          <w:bCs/>
        </w:rPr>
        <w:t xml:space="preserve">Example 13 </w:t>
      </w:r>
      <w:r>
        <w:rPr/>
        <w:t xml:space="preserve">is included in the download package. To run this example please refer to the section </w:t>
      </w:r>
      <w:r>
        <w:rPr>
          <w:color w:val="3333FF"/>
          <w:u w:val="single"/>
        </w:rPr>
        <w:t>How to Run the Examples</w:t>
      </w:r>
      <w:r>
        <w:rPr/>
        <w:t xml:space="preserve"> above.</w:t>
      </w:r>
    </w:p>
    <w:p>
      <w:pPr>
        <w:pStyle w:val="Heading2"/>
        <w:rPr/>
      </w:pPr>
      <w:r>
        <w:rPr/>
        <w:t>Case #1: Limiting the number of returned rows</w:t>
      </w:r>
    </w:p>
    <w:p>
      <w:pPr>
        <w:pStyle w:val="Normal"/>
        <w:rPr/>
      </w:pPr>
      <w:r>
        <w:rPr/>
        <w:t xml:space="preserve">The SQL select uses the native SQL extension </w:t>
      </w:r>
      <w:r>
        <w:rPr>
          <w:rStyle w:val="Source"/>
        </w:rPr>
        <w:t>LIMIT &lt;N&gt;</w:t>
      </w:r>
      <w:r>
        <w:rPr/>
        <w:t xml:space="preserve"> to limit the returned number of rows. The configuration file includes the following section:</w:t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C3C3C"/>
          <w:sz w:val="20"/>
        </w:rPr>
        <w:t xml:space="preserve">  </w:t>
      </w: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select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java-class-name</w:t>
      </w:r>
      <w:r>
        <w:rPr>
          <w:rFonts w:ascii="Monospace" w:hAnsi="Monospace"/>
          <w:color w:val="3C3C3C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"NonVIPClient"</w:t>
      </w:r>
      <w:r>
        <w:rPr>
          <w:rFonts w:ascii="Monospace" w:hAnsi="Monospace"/>
          <w:color w:val="008080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C3C3C"/>
          <w:sz w:val="20"/>
        </w:rPr>
        <w:t xml:space="preserve">  </w:t>
      </w:r>
      <w:r>
        <w:rPr>
          <w:rFonts w:ascii="Monospace" w:hAnsi="Monospace"/>
          <w:color w:val="008080"/>
          <w:sz w:val="20"/>
        </w:rPr>
        <w:t>&lt;![CDATA[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select * from client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  </w:t>
      </w:r>
      <w:r>
        <w:rPr>
          <w:rFonts w:ascii="Monospace" w:hAnsi="Monospace"/>
          <w:color w:val="000000"/>
          <w:sz w:val="20"/>
        </w:rPr>
        <w:t xml:space="preserve">{*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  </w:t>
      </w:r>
      <w:r>
        <w:rPr>
          <w:rFonts w:ascii="Monospace" w:hAnsi="Monospace"/>
          <w:color w:val="000000"/>
          <w:sz w:val="20"/>
        </w:rPr>
        <w:t>where vip = false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  </w:t>
      </w:r>
      <w:r>
        <w:rPr>
          <w:rFonts w:ascii="Monospace" w:hAnsi="Monospace"/>
          <w:color w:val="000000"/>
          <w:sz w:val="20"/>
        </w:rPr>
        <w:t>limit #{maxRows,javaType=java.lang.Integer,jdbcType=NUMERIC}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  </w:t>
      </w:r>
      <w:r>
        <w:rPr>
          <w:rFonts w:ascii="Monospace" w:hAnsi="Monospace"/>
          <w:color w:val="000000"/>
          <w:sz w:val="20"/>
        </w:rPr>
        <w:t>*}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</w:t>
      </w:r>
      <w:r>
        <w:rPr>
          <w:rFonts w:ascii="Monospace" w:hAnsi="Monospace"/>
          <w:color w:val="008080"/>
          <w:sz w:val="20"/>
        </w:rPr>
        <w:t>]]&gt;</w:t>
      </w:r>
    </w:p>
    <w:p>
      <w:pPr>
        <w:pStyle w:val="Normal"/>
        <w:rPr/>
      </w:pPr>
      <w:r>
        <w:rPr>
          <w:rFonts w:ascii="Monospace" w:hAnsi="Monospace"/>
          <w:color w:val="3C3C3C"/>
          <w:sz w:val="20"/>
        </w:rPr>
        <w:t xml:space="preserve">  </w:t>
      </w: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select</w:t>
      </w:r>
      <w:r>
        <w:rPr>
          <w:rFonts w:ascii="Monospace" w:hAnsi="Monospace"/>
          <w:color w:val="008080"/>
          <w:sz w:val="20"/>
        </w:rPr>
        <w:t>&gt;</w:t>
      </w:r>
    </w:p>
    <w:p>
      <w:pPr>
        <w:pStyle w:val="Normal"/>
        <w:rPr>
          <w:rStyle w:val="Source"/>
          <w:color w:val="008080"/>
          <w:sz w:val="20"/>
        </w:rPr>
      </w:pPr>
      <w:r>
        <w:rPr>
          <w:color w:val="008080"/>
          <w:sz w:val="20"/>
        </w:rPr>
      </w:r>
    </w:p>
    <w:p>
      <w:pPr>
        <w:pStyle w:val="Normal"/>
        <w:rPr/>
      </w:pPr>
      <w:r>
        <w:rPr/>
        <w:t xml:space="preserve">The SQL select can be run using the </w:t>
      </w:r>
      <w:r>
        <w:rPr>
          <w:rStyle w:val="Source"/>
        </w:rPr>
        <w:t>select(java.lang.Integer maxRows)</w:t>
      </w:r>
      <w:r>
        <w:rPr/>
        <w:t xml:space="preserve"> Java method on the DAO </w:t>
      </w:r>
      <w:r>
        <w:rPr>
          <w:rStyle w:val="Source"/>
        </w:rPr>
        <w:t>NonVIPClient</w:t>
      </w:r>
      <w:r>
        <w:rPr/>
        <w:t>.</w:t>
      </w:r>
    </w:p>
    <w:p>
      <w:pPr>
        <w:pStyle w:val="Heading2"/>
        <w:rPr/>
      </w:pPr>
      <w:r>
        <w:rPr/>
        <w:t>Case #2: Using a non-standard SQL function</w:t>
      </w:r>
    </w:p>
    <w:p>
      <w:pPr>
        <w:pStyle w:val="Normal"/>
        <w:rPr/>
      </w:pPr>
      <w:r>
        <w:rPr/>
        <w:t xml:space="preserve">The SQL select to uses the SQL function </w:t>
      </w:r>
      <w:r>
        <w:rPr>
          <w:rStyle w:val="Source"/>
        </w:rPr>
        <w:t>IFNULL(value, value)</w:t>
      </w:r>
      <w:r>
        <w:rPr/>
        <w:t>. The configuration file includes the following section:</w:t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left"/>
        <w:rPr>
          <w:color w:val="000000"/>
          <w:sz w:val="20"/>
        </w:rPr>
      </w:pPr>
      <w:r>
        <w:rPr>
          <w:rStyle w:val="Source"/>
          <w:rFonts w:ascii="Monospace" w:hAnsi="Monospace"/>
          <w:color w:val="3C3C3C"/>
          <w:sz w:val="20"/>
        </w:rPr>
        <w:t xml:space="preserve">  </w:t>
      </w: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select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java-class-name</w:t>
      </w:r>
      <w:r>
        <w:rPr>
          <w:rFonts w:ascii="Monospace" w:hAnsi="Monospace"/>
          <w:color w:val="3C3C3C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"VehiclePrice"</w:t>
      </w:r>
      <w:r>
        <w:rPr>
          <w:rFonts w:ascii="Monospace" w:hAnsi="Monospace"/>
          <w:color w:val="008080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C3C3C"/>
          <w:sz w:val="20"/>
        </w:rPr>
        <w:t xml:space="preserve">  </w:t>
      </w:r>
      <w:r>
        <w:rPr>
          <w:rFonts w:ascii="Monospace" w:hAnsi="Monospace"/>
          <w:color w:val="008080"/>
          <w:sz w:val="20"/>
        </w:rPr>
        <w:t>&lt;![CDATA[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select id, ifnull(list_price, '0') as price from vehicle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  </w:t>
      </w:r>
      <w:r>
        <w:rPr>
          <w:rFonts w:ascii="Monospace" w:hAnsi="Monospace"/>
          <w:color w:val="000000"/>
          <w:sz w:val="20"/>
        </w:rPr>
        <w:t>{*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  </w:t>
      </w:r>
      <w:r>
        <w:rPr>
          <w:rFonts w:ascii="Monospace" w:hAnsi="Monospace"/>
          <w:color w:val="000000"/>
          <w:sz w:val="20"/>
        </w:rPr>
        <w:t>where brand = #{brandName,javaType=java.lang.String,jdbcType=VARCHAR}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  </w:t>
      </w:r>
      <w:r>
        <w:rPr>
          <w:rFonts w:ascii="Monospace" w:hAnsi="Monospace"/>
          <w:color w:val="000000"/>
          <w:sz w:val="20"/>
        </w:rPr>
        <w:t>*}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</w:t>
      </w:r>
      <w:r>
        <w:rPr>
          <w:rFonts w:ascii="Monospace" w:hAnsi="Monospace"/>
          <w:color w:val="008080"/>
          <w:sz w:val="20"/>
        </w:rPr>
        <w:t>]]&gt;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C3C3C"/>
          <w:sz w:val="20"/>
        </w:rPr>
        <w:t xml:space="preserve">  </w:t>
      </w: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select</w:t>
      </w:r>
      <w:r>
        <w:rPr>
          <w:rFonts w:ascii="Monospace" w:hAnsi="Monospace"/>
          <w:color w:val="008080"/>
          <w:sz w:val="20"/>
        </w:rPr>
        <w:t>&gt;</w:t>
      </w:r>
    </w:p>
    <w:p>
      <w:pPr>
        <w:pStyle w:val="Normal"/>
        <w:ind w:hanging="0"/>
        <w:jc w:val="left"/>
        <w:rPr>
          <w:rStyle w:val="Source"/>
          <w:color w:val="008080"/>
          <w:sz w:val="20"/>
        </w:rPr>
      </w:pPr>
      <w:r>
        <w:rPr>
          <w:color w:val="008080"/>
          <w:sz w:val="20"/>
        </w:rPr>
      </w:r>
    </w:p>
    <w:p>
      <w:pPr>
        <w:pStyle w:val="Normal"/>
        <w:rPr/>
      </w:pPr>
      <w:r>
        <w:rPr/>
        <w:t xml:space="preserve">The SQL select can be run using the </w:t>
      </w:r>
      <w:r>
        <w:rPr>
          <w:rStyle w:val="Source"/>
        </w:rPr>
        <w:t>select(java.lang.Integer maxRows)</w:t>
      </w:r>
      <w:r>
        <w:rPr/>
        <w:t xml:space="preserve"> Java method on the DAO </w:t>
      </w:r>
      <w:r>
        <w:rPr>
          <w:rStyle w:val="Source"/>
        </w:rPr>
        <w:t>NonVIPClient</w:t>
      </w:r>
      <w:r>
        <w:rPr/>
        <w:t>.</w:t>
      </w:r>
    </w:p>
    <w:p>
      <w:pPr>
        <w:pStyle w:val="Heading2"/>
        <w:rPr/>
      </w:pPr>
      <w:r>
        <w:rPr/>
        <w:t>Case #3: Inserting on a native database column type</w:t>
      </w:r>
    </w:p>
    <w:p>
      <w:pPr>
        <w:pStyle w:val="Normal"/>
        <w:rPr/>
      </w:pPr>
      <w:r>
        <w:rPr/>
        <w:t xml:space="preserve">The SQL select to uses injects valued on a non-standard SQL syntax for the </w:t>
      </w:r>
      <w:r>
        <w:rPr>
          <w:rStyle w:val="Source"/>
        </w:rPr>
        <w:t>ARRAY</w:t>
      </w:r>
      <w:r>
        <w:rPr/>
        <w:t xml:space="preserve"> of </w:t>
      </w:r>
      <w:r>
        <w:rPr>
          <w:rStyle w:val="Source"/>
        </w:rPr>
        <w:t>VARCHAR</w:t>
      </w:r>
      <w:r>
        <w:rPr/>
        <w:t xml:space="preserve"> column type. The configuration file includes the following section: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Monospace" w:hAnsi="Monospace"/>
          <w:color w:val="3C3C3C"/>
          <w:sz w:val="20"/>
        </w:rPr>
        <w:t xml:space="preserve">  </w:t>
      </w: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query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java-method-name</w:t>
      </w:r>
      <w:r>
        <w:rPr>
          <w:rFonts w:ascii="Monospace" w:hAnsi="Monospace"/>
          <w:color w:val="3C3C3C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"insertPreferredColors"</w:t>
      </w:r>
      <w:r>
        <w:rPr>
          <w:rFonts w:ascii="Monospace" w:hAnsi="Monospace"/>
          <w:color w:val="008080"/>
          <w:sz w:val="20"/>
        </w:rPr>
        <w:t>&gt;</w:t>
      </w:r>
    </w:p>
    <w:p>
      <w:pPr>
        <w:pStyle w:val="Normal"/>
        <w:ind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3C3C3C"/>
          <w:sz w:val="20"/>
        </w:rPr>
        <w:t xml:space="preserve">  </w:t>
      </w:r>
      <w:r>
        <w:rPr>
          <w:rFonts w:ascii="Monospace" w:hAnsi="Monospace"/>
          <w:color w:val="008080"/>
          <w:sz w:val="20"/>
        </w:rPr>
        <w:t>&lt;![CDATA[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insert into preferred_colors (id, colors) values (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  </w:t>
      </w:r>
      <w:r>
        <w:rPr>
          <w:rFonts w:ascii="Monospace" w:hAnsi="Monospace"/>
          <w:color w:val="000000"/>
          <w:sz w:val="20"/>
        </w:rPr>
        <w:t>#{id,javaType=java.lang.Integer, jdbcType=NUMERIC},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  </w:t>
      </w:r>
      <w:r>
        <w:rPr>
          <w:rFonts w:ascii="Monospace" w:hAnsi="Monospace"/>
          <w:color w:val="000000"/>
          <w:sz w:val="20"/>
        </w:rPr>
        <w:t>(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#{color1,javaType=java.lang.String, jdbcType=VARCHAR},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#{color2,javaType=java.lang.String, jdbcType=VARCHAR},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#{color3,javaType=java.lang.String, jdbcType=VARCHAR}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  </w:t>
      </w:r>
      <w:r>
        <w:rPr>
          <w:rFonts w:ascii="Monospace" w:hAnsi="Monospace"/>
          <w:color w:val="000000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</w:t>
      </w:r>
      <w:r>
        <w:rPr>
          <w:rFonts w:ascii="Monospace" w:hAnsi="Monospace"/>
          <w:color w:val="008080"/>
          <w:sz w:val="20"/>
        </w:rPr>
        <w:t>]]&gt;</w:t>
      </w:r>
    </w:p>
    <w:p>
      <w:pPr>
        <w:pStyle w:val="Normal"/>
        <w:rPr/>
      </w:pPr>
      <w:r>
        <w:rPr>
          <w:rFonts w:ascii="Monospace" w:hAnsi="Monospace"/>
          <w:color w:val="3C3C3C"/>
          <w:sz w:val="20"/>
        </w:rPr>
        <w:t xml:space="preserve">  </w:t>
      </w: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query</w:t>
      </w:r>
      <w:r>
        <w:rPr>
          <w:rFonts w:ascii="Monospace" w:hAnsi="Monospace"/>
          <w:color w:val="008080"/>
          <w:sz w:val="20"/>
        </w:rPr>
        <w:t>&gt;</w:t>
      </w:r>
    </w:p>
    <w:p>
      <w:pPr>
        <w:pStyle w:val="Normal"/>
        <w:rPr>
          <w:rFonts w:ascii="Monospace" w:hAnsi="Monospace"/>
          <w:color w:val="008080"/>
          <w:sz w:val="20"/>
        </w:rPr>
      </w:pPr>
      <w:r>
        <w:rPr>
          <w:rFonts w:ascii="Monospace" w:hAnsi="Monospace"/>
          <w:color w:val="008080"/>
          <w:sz w:val="20"/>
        </w:rPr>
      </w:r>
    </w:p>
    <w:p>
      <w:pPr>
        <w:pStyle w:val="Normal"/>
        <w:rPr/>
      </w:pPr>
      <w:r>
        <w:rPr/>
        <w:t xml:space="preserve">The SQL select can be run using the </w:t>
      </w:r>
      <w:r>
        <w:rPr>
          <w:rStyle w:val="Source"/>
        </w:rPr>
        <w:t>insertPreferredColors(Integer id, String color1, String color2, String color3)</w:t>
      </w:r>
      <w:r>
        <w:rPr/>
        <w:t xml:space="preserve"> Java method on the DAO </w:t>
      </w:r>
      <w:r>
        <w:rPr>
          <w:rStyle w:val="Source"/>
        </w:rPr>
        <w:t>GeneralOperations</w:t>
      </w:r>
      <w:r>
        <w:rPr/>
        <w:t>.</w:t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2240" w:h="15840"/>
      <w:pgMar w:left="1134" w:right="1134" w:header="0" w:top="1134" w:footer="1134" w:bottom="174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default"/>
  </w:font>
  <w:font w:name="Nimbus Sans L">
    <w:altName w:val="Arial"/>
    <w:charset w:val="01"/>
    <w:family w:val="swiss"/>
    <w:pitch w:val="default"/>
  </w:font>
  <w:font w:name="Nimbus Sans L">
    <w:altName w:val="Arial"/>
    <w:charset w:val="01"/>
    <w:family w:val="swiss"/>
    <w:pitch w:val="variable"/>
  </w:font>
  <w:font w:name="Nimbus Mono L">
    <w:altName w:val="Courier New"/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Monospace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2" w:space="1" w:color="000001"/>
      </w:pBdr>
      <w:tabs>
        <w:tab w:val="right" w:pos="9975" w:leader="none"/>
      </w:tabs>
      <w:rPr/>
    </w:pPr>
    <w:r>
      <w:rPr/>
      <w:t xml:space="preserve">Page </w:t>
    </w: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/>
      <w:t xml:space="preserve"> of </w:t>
    </w:r>
    <w:r>
      <w:rPr/>
      <w:fldChar w:fldCharType="begin"/>
    </w:r>
    <w:r>
      <w:instrText> NUMPAGES </w:instrText>
    </w:r>
    <w:r>
      <w:fldChar w:fldCharType="separate"/>
    </w:r>
    <w:r>
      <w:t>2</w:t>
    </w:r>
    <w:r>
      <w:fldChar w:fldCharType="end"/>
    </w:r>
    <w:r>
      <w:rPr/>
      <w:tab/>
    </w:r>
    <w:r>
      <w:rPr/>
      <w:fldChar w:fldCharType="begin"/>
    </w:r>
    <w:r>
      <w:instrText> FILENAME </w:instrText>
    </w:r>
    <w:r>
      <w:fldChar w:fldCharType="separate"/>
    </w:r>
    <w:r>
      <w:t>07.16-example-13.docx</w:t>
    </w:r>
    <w:r>
      <w:fldChar w:fldCharType="end"/>
    </w:r>
  </w:p>
</w:ftr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Nimbus Sans L" w:hAnsi="Nimbus Sans L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/>
    <w:rPr>
      <w:rFonts w:ascii="Nimbus Sans L" w:hAnsi="Nimbus Sans L"/>
      <w:b/>
      <w:color w:val="801900"/>
      <w:sz w:val="32"/>
    </w:rPr>
  </w:style>
  <w:style w:type="paragraph" w:styleId="Heading2">
    <w:name w:val="Heading 2"/>
    <w:basedOn w:val="Heading"/>
    <w:qFormat/>
    <w:pPr/>
    <w:rPr>
      <w:rFonts w:ascii="Nimbus Sans L" w:hAnsi="Nimbus Sans L"/>
      <w:b/>
      <w:color w:val="801900"/>
      <w:sz w:val="24"/>
    </w:rPr>
  </w:style>
  <w:style w:type="character" w:styleId="NumberingSymbols">
    <w:name w:val="Numbering Symbols"/>
    <w:qFormat/>
    <w:rPr/>
  </w:style>
  <w:style w:type="character" w:styleId="PageNumber">
    <w:name w:val="Page Number"/>
    <w:rPr/>
  </w:style>
  <w:style w:type="character" w:styleId="Source">
    <w:name w:val="Source"/>
    <w:qFormat/>
    <w:rPr>
      <w:rFonts w:ascii="Nimbus Mono L" w:hAnsi="Nimbus Mono L"/>
      <w:lang w:val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Liberation Sans" w:hAnsi="Liberation Sans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ans" w:hAnsi="Liberation Sans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Liberation Sans" w:hAnsi="Liberation Sans" w:cs="FreeSans"/>
    </w:rPr>
  </w:style>
  <w:style w:type="paragraph" w:styleId="Footer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163</TotalTime>
  <Application>LibreOffice/5.0.4.2$Linux_X86_64 LibreOffice_project/00m0$Build-2</Application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2017-01-24T22:06:30Z</dcterms:created>
  <dc:language>en-US</dc:language>
  <dcterms:modified xsi:type="dcterms:W3CDTF">2017-03-05T17:46:54Z</dcterms:modified>
  <cp:revision>188</cp:revision>
</cp:coreProperties>
</file>