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Transactions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>The DAOs for MyBatis operate by default in auto-commit mode. That is, every single insert, delete, and update commits its execution right away without need to specify it.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 xml:space="preserve">However, when transactions are required to group multiple database operations the DAOs provide a simple </w:t>
      </w:r>
      <w:r>
        <w:rPr>
          <w:rFonts w:ascii="Liberation Sans" w:hAnsi="Liberation Sans"/>
          <w:b w:val="false"/>
          <w:bCs w:val="false"/>
          <w:color w:val="00000A"/>
          <w:sz w:val="24"/>
          <w:szCs w:val="24"/>
          <w:lang w:val="zxx" w:eastAsia="zxx" w:bidi="zxx"/>
        </w:rPr>
        <w:t>TxManager</w:t>
      </w: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 xml:space="preserve"> object that allows the code to initiate, commit, rollback, and free transaction resources.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>Since behind the scenes MyBatis is controlling all transactions, many features of it are available such as locally controlled transactions, or participation in external transactions using JTA.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>Transactions can also be linear or interleaved, the latter only available if supported by the database and JDBC driver.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07.16-example-13-transactions.docx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LibreOffice/5.0.4.2$Linux_X86_64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2017-02-08T22:04:04Z</dcterms:modified>
  <cp:revision>47</cp:revision>
</cp:coreProperties>
</file>