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宋体" w:hAnsi="宋体" w:eastAsia="宋体"/>
          <w:b/>
          <w:sz w:val="44"/>
        </w:rPr>
        <w:t>集思 · 信息收集整合系统</w:t>
      </w:r>
    </w:p>
    <w:p>
      <w:pPr>
        <w:jc w:val="center"/>
      </w:pPr>
      <w:r>
        <w:rPr>
          <w:rFonts w:ascii="宋体" w:hAnsi="宋体" w:eastAsia="宋体"/>
          <w:b w:val="0"/>
          <w:sz w:val="28"/>
        </w:rPr>
        <w:t>Jisi InfoHub</w:t>
      </w:r>
    </w:p>
    <w:p>
      <w:pPr>
        <w:jc w:val="center"/>
      </w:pPr>
      <w:r>
        <w:rPr>
          <w:rFonts w:ascii="宋体" w:hAnsi="宋体" w:eastAsia="宋体"/>
          <w:b/>
          <w:sz w:val="40"/>
        </w:rPr>
        <w:t>技术选型论证报告</w:t>
      </w:r>
    </w:p>
    <w:p>
      <w:pPr>
        <w:sectPr>
          <w:pgSz w:w="12240" w:h="15840"/>
          <w:pgMar w:top="1417" w:right="1361" w:bottom="1417" w:left="1587" w:header="720" w:footer="720" w:gutter="0"/>
          <w:cols w:space="720"/>
          <w:docGrid w:linePitch="360"/>
        </w:sectPr>
      </w:pPr>
    </w:p>
    <w:p>
      <w:pPr>
        <w:pStyle w:val="Heading1"/>
      </w:pPr>
      <w:r>
        <w:rPr>
          <w:rFonts w:ascii="宋体" w:hAnsi="宋体" w:eastAsia="宋体"/>
          <w:b/>
          <w:sz w:val="28"/>
        </w:rPr>
        <w:t>版本记录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23"/>
        <w:gridCol w:w="2323"/>
        <w:gridCol w:w="2323"/>
        <w:gridCol w:w="2323"/>
      </w:tblGrid>
      <w:tr>
        <w:tc>
          <w:tcPr>
            <w:tcW w:type="dxa" w:w="2323"/>
            <w:shd w:fill="D9EAF7"/>
          </w:tcPr>
          <w:p>
            <w:r>
              <w:rPr>
                <w:rFonts w:ascii="宋体" w:hAnsi="宋体" w:eastAsia="宋体"/>
                <w:sz w:val="18"/>
              </w:rPr>
              <w:t>版本</w:t>
            </w:r>
          </w:p>
        </w:tc>
        <w:tc>
          <w:tcPr>
            <w:tcW w:type="dxa" w:w="2323"/>
            <w:shd w:fill="D9EAF7"/>
          </w:tcPr>
          <w:p>
            <w:r>
              <w:rPr>
                <w:rFonts w:ascii="宋体" w:hAnsi="宋体" w:eastAsia="宋体"/>
                <w:sz w:val="18"/>
              </w:rPr>
              <w:t>日期</w:t>
            </w:r>
          </w:p>
        </w:tc>
        <w:tc>
          <w:tcPr>
            <w:tcW w:type="dxa" w:w="2323"/>
            <w:shd w:fill="D9EAF7"/>
          </w:tcPr>
          <w:p>
            <w:r>
              <w:rPr>
                <w:rFonts w:ascii="宋体" w:hAnsi="宋体" w:eastAsia="宋体"/>
                <w:sz w:val="18"/>
              </w:rPr>
              <w:t>修改内容</w:t>
            </w:r>
          </w:p>
        </w:tc>
        <w:tc>
          <w:tcPr>
            <w:tcW w:type="dxa" w:w="2323"/>
            <w:shd w:fill="D9EAF7"/>
          </w:tcPr>
          <w:p>
            <w:r>
              <w:rPr>
                <w:rFonts w:ascii="宋体" w:hAnsi="宋体" w:eastAsia="宋体"/>
                <w:sz w:val="18"/>
              </w:rPr>
              <w:t>修改人</w:t>
            </w:r>
          </w:p>
        </w:tc>
      </w:tr>
      <w:tr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V1.0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2026-06-13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形成技术选型论证报告初稿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罗元恒</w:t>
            </w:r>
          </w:p>
        </w:tc>
      </w:tr>
      <w:tr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V1.1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2026-06-22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自查修订技术选型论证报告，补充需求/API/字段/图表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罗元恒</w:t>
            </w:r>
          </w:p>
        </w:tc>
      </w:tr>
      <w:tr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V1.2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2026-06-24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最终格式统一与交付前核对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罗元恒</w:t>
            </w:r>
          </w:p>
        </w:tc>
      </w:tr>
    </w:tbl>
    <w:p/>
    <w:p>
      <w:pPr>
        <w:pStyle w:val="Heading1"/>
      </w:pPr>
      <w:r>
        <w:rPr>
          <w:rFonts w:ascii="宋体" w:hAnsi="宋体" w:eastAsia="宋体"/>
          <w:b/>
          <w:sz w:val="28"/>
        </w:rPr>
        <w:t>目录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本文档采用 Word 标题样式组织目录。正式提交前可在 Word/WPS 中通过“引用-目录-更新目录”生成自动目录。</w:t>
      </w:r>
    </w:p>
    <w:p>
      <w:pPr>
        <w:pStyle w:val="Heading1"/>
      </w:pPr>
      <w:r>
        <w:rPr>
          <w:rFonts w:ascii="宋体" w:hAnsi="宋体" w:eastAsia="宋体"/>
          <w:b/>
          <w:sz w:val="28"/>
        </w:rPr>
        <w:t>文档说明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本文档对集思 · 信息收集整合系统的后端、数据库、前端、部署和质量工具进行比较论证，作为概要设计和开发实施的技术依据。</w:t>
      </w:r>
    </w:p>
    <w:p>
      <w:pPr>
        <w:pStyle w:val="Heading1"/>
      </w:pPr>
      <w:r>
        <w:rPr>
          <w:rFonts w:ascii="宋体" w:hAnsi="宋体" w:eastAsia="宋体"/>
          <w:b/>
          <w:sz w:val="28"/>
        </w:rPr>
        <w:t>1 选型目标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关于技术选型这部分，我们主要还是面向课程实践来做的。系统要能真正跑起来，不能光有文档没有代码。我们把采集、清洗、存储、分析、展示和管理拆成了六个独立模块，这样组员之间可以并行开发，互不耽误，最后再统一联调。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做技术选型的时候，大家注意每步的输入和输出都要留记录。需求不是写出来就完了，得能对应到设计、数据库和测试用例。不然答辩的时候老师说「你这个需求在哪实现了」，我们拿不出证据就很被动。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技术选型这边几个容易出问题的点：数据源说崩就崩、清洗规则各写各的、分析结果解释不清、前端和后端接口对不上、文档格式五花八门。我的想法是通过统一模板、阶段验收和评审会议来卡住这些风险，每个节点检查完再往下走。</w:t>
      </w:r>
    </w:p>
    <w:p>
      <w:pPr>
        <w:pStyle w:val="Heading1"/>
      </w:pPr>
      <w:r>
        <w:rPr>
          <w:rFonts w:ascii="宋体" w:hAnsi="宋体" w:eastAsia="宋体"/>
          <w:b/>
          <w:sz w:val="28"/>
        </w:rPr>
        <w:t>2 候选方案对比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关于候选方案对比这部分，我们主要还是面向课程实践来做的。系统要能真正跑起来，不能光有文档没有代码。我们把采集、清洗、存储、分析、展示和管理拆成了六个独立模块，这样组员之间可以并行开发，互不耽误，最后再统一联调。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做候选方案对比的时候，大家注意每步的输入和输出都要留记录。需求不是写出来就完了，得能对应到设计、数据库和测试用例。不然答辩的时候老师说「你这个需求在哪实现了」，我们拿不出证据就很被动。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23"/>
        <w:gridCol w:w="2323"/>
        <w:gridCol w:w="2323"/>
        <w:gridCol w:w="2323"/>
      </w:tblGrid>
      <w:tr>
        <w:tc>
          <w:tcPr>
            <w:tcW w:type="dxa" w:w="2323"/>
            <w:shd w:fill="D9EAF7"/>
          </w:tcPr>
          <w:p>
            <w:r>
              <w:rPr>
                <w:rFonts w:ascii="宋体" w:hAnsi="宋体" w:eastAsia="宋体"/>
                <w:sz w:val="18"/>
              </w:rPr>
              <w:t>类别</w:t>
            </w:r>
          </w:p>
        </w:tc>
        <w:tc>
          <w:tcPr>
            <w:tcW w:type="dxa" w:w="2323"/>
            <w:shd w:fill="D9EAF7"/>
          </w:tcPr>
          <w:p>
            <w:r>
              <w:rPr>
                <w:rFonts w:ascii="宋体" w:hAnsi="宋体" w:eastAsia="宋体"/>
                <w:sz w:val="18"/>
              </w:rPr>
              <w:t>推荐方案</w:t>
            </w:r>
          </w:p>
        </w:tc>
        <w:tc>
          <w:tcPr>
            <w:tcW w:type="dxa" w:w="2323"/>
            <w:shd w:fill="D9EAF7"/>
          </w:tcPr>
          <w:p>
            <w:r>
              <w:rPr>
                <w:rFonts w:ascii="宋体" w:hAnsi="宋体" w:eastAsia="宋体"/>
                <w:sz w:val="18"/>
              </w:rPr>
              <w:t>备选方案</w:t>
            </w:r>
          </w:p>
        </w:tc>
        <w:tc>
          <w:tcPr>
            <w:tcW w:type="dxa" w:w="2323"/>
            <w:shd w:fill="D9EAF7"/>
          </w:tcPr>
          <w:p>
            <w:r>
              <w:rPr>
                <w:rFonts w:ascii="宋体" w:hAnsi="宋体" w:eastAsia="宋体"/>
                <w:sz w:val="18"/>
              </w:rPr>
              <w:t>推荐理由</w:t>
            </w:r>
          </w:p>
        </w:tc>
      </w:tr>
      <w:tr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后端框架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Python 标准库 HTTP 服务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FastAPI、Flask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依赖少、部署简单、适合课程演示和本地运行</w:t>
            </w:r>
          </w:p>
        </w:tc>
      </w:tr>
      <w:tr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数据库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SQLite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PostgreSQL、MySQL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关系模型清晰，SQLite 便于演示，后续可迁移到 PostgreSQL</w:t>
            </w:r>
          </w:p>
        </w:tc>
      </w:tr>
      <w:tr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全文检索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内置LIKE/后续扩展Elasticsearch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Meilisearch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课程阶段先保证可运行，后续可替换为专业检索引擎</w:t>
            </w:r>
          </w:p>
        </w:tc>
      </w:tr>
      <w:tr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前端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原生 HTML/CSS/JavaScript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Vue或React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无需构建工具，直接打开即可演示，便于课堂环境复现</w:t>
            </w:r>
          </w:p>
        </w:tc>
      </w:tr>
      <w:tr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部署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Docker Compose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裸机部署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环境一致性好，便于答辩演示和成员复现</w:t>
            </w:r>
          </w:p>
        </w:tc>
      </w:tr>
    </w:tbl>
    <w:p/>
    <w:p>
      <w:pPr>
        <w:pStyle w:val="Heading1"/>
      </w:pPr>
      <w:r>
        <w:rPr>
          <w:rFonts w:ascii="宋体" w:hAnsi="宋体" w:eastAsia="宋体"/>
          <w:b/>
          <w:sz w:val="28"/>
        </w:rPr>
        <w:t>3 后端技术论证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关于后端技术论证这部分，我们主要还是面向课程实践来做的。系统要能真正跑起来，不能光有文档没有代码。我们把采集、清洗、存储、分析、展示和管理拆成了六个独立模块，这样组员之间可以并行开发，互不耽误，最后再统一联调。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做后端技术论证的时候，大家注意每步的输入和输出都要留记录。需求不是写出来就完了，得能对应到设计、数据库和测试用例。不然答辩的时候老师说「你这个需求在哪实现了」，我们拿不出证据就很被动。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后端技术论证这边几个容易出问题的点：数据源说崩就崩、清洗规则各写各的、分析结果解释不清、前端和后端接口对不上、文档格式五花八门。我的想法是通过统一模板、阶段验收和评审会议来卡住这些风险，每个节点检查完再往下走。</w:t>
      </w:r>
    </w:p>
    <w:p>
      <w:pPr>
        <w:pStyle w:val="Heading1"/>
      </w:pPr>
      <w:r>
        <w:rPr>
          <w:rFonts w:ascii="宋体" w:hAnsi="宋体" w:eastAsia="宋体"/>
          <w:b/>
          <w:sz w:val="28"/>
        </w:rPr>
        <w:t>4 数据存储论证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关于数据存储论证这部分，我们主要还是面向课程实践来做的。系统要能真正跑起来，不能光有文档没有代码。我们把采集、清洗、存储、分析、展示和管理拆成了六个独立模块，这样组员之间可以并行开发，互不耽误，最后再统一联调。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做数据存储论证的时候，大家注意每步的输入和输出都要留记录。需求不是写出来就完了，得能对应到设计、数据库和测试用例。不然答辩的时候老师说「你这个需求在哪实现了」，我们拿不出证据就很被动。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数据存储论证这边几个容易出问题的点：数据源说崩就崩、清洗规则各写各的、分析结果解释不清、前端和后端接口对不上、文档格式五花八门。我的想法是通过统一模板、阶段验收和评审会议来卡住这些风险，每个节点检查完再往下走。</w:t>
      </w:r>
    </w:p>
    <w:p>
      <w:pPr>
        <w:pStyle w:val="Heading1"/>
      </w:pPr>
      <w:r>
        <w:rPr>
          <w:rFonts w:ascii="宋体" w:hAnsi="宋体" w:eastAsia="宋体"/>
          <w:b/>
          <w:sz w:val="28"/>
        </w:rPr>
        <w:t>5 前端展示论证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关于前端展示论证这部分，我们主要还是面向课程实践来做的。系统要能真正跑起来，不能光有文档没有代码。我们把采集、清洗、存储、分析、展示和管理拆成了六个独立模块，这样组员之间可以并行开发，互不耽误，最后再统一联调。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做前端展示论证的时候，大家注意每步的输入和输出都要留记录。需求不是写出来就完了，得能对应到设计、数据库和测试用例。不然答辩的时候老师说「你这个需求在哪实现了」，我们拿不出证据就很被动。</w:t>
      </w:r>
    </w:p>
    <w:p>
      <w:pPr>
        <w:pStyle w:val="Heading1"/>
      </w:pPr>
      <w:r>
        <w:rPr>
          <w:rFonts w:ascii="宋体" w:hAnsi="宋体" w:eastAsia="宋体"/>
          <w:b/>
          <w:sz w:val="28"/>
        </w:rPr>
        <w:t>6 部署与运维论证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关于部署与运维论证这部分，我们主要还是面向课程实践来做的。系统要能真正跑起来，不能光有文档没有代码。我们把采集、清洗、存储、分析、展示和管理拆成了六个独立模块，这样组员之间可以并行开发，互不耽误，最后再统一联调。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做部署与运维论证的时候，大家注意每步的输入和输出都要留记录。需求不是写出来就完了，得能对应到设计、数据库和测试用例。不然答辩的时候老师说「你这个需求在哪实现了」，我们拿不出证据就很被动。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部署与运维论证这边几个容易出问题的点：数据源说崩就崩、清洗规则各写各的、分析结果解释不清、前端和后端接口对不上、文档格式五花八门。我的想法是通过统一模板、阶段验收和评审会议来卡住这些风险，每个节点检查完再往下走。</w:t>
      </w:r>
    </w:p>
    <w:p>
      <w:pPr>
        <w:pStyle w:val="Heading1"/>
      </w:pPr>
      <w:r>
        <w:rPr>
          <w:rFonts w:ascii="宋体" w:hAnsi="宋体" w:eastAsia="宋体"/>
          <w:b/>
          <w:sz w:val="28"/>
        </w:rPr>
        <w:t>7 结论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关于选型结论这部分，我们主要还是面向课程实践来做的。系统要能真正跑起来，不能光有文档没有代码。我们把采集、清洗、存储、分析、展示和管理拆成了六个独立模块，这样组员之间可以并行开发，互不耽误，最后再统一联调。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做选型结论的时候，大家注意每步的输入和输出都要留记录。需求不是写出来就完了，得能对应到设计、数据库和测试用例。不然答辩的时候老师说「你这个需求在哪实现了」，我们拿不出证据就很被动。</w:t>
      </w:r>
    </w:p>
    <w:p>
      <w:pPr>
        <w:pStyle w:val="Heading1"/>
      </w:pPr>
      <w:r>
        <w:rPr>
          <w:rFonts w:ascii="宋体" w:hAnsi="宋体" w:eastAsia="宋体"/>
          <w:b/>
          <w:sz w:val="28"/>
        </w:rPr>
        <w:t>附录：选型评分表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选型评分采用五分制，评价维度包括学习成本、实现效率、演示稳定性、扩展能力和文档资料。课程作业优先选择能稳定完成主流程和便于答辩说明的方案。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当前版本采用 Python 标准库 HTTP 服务、SQLite、原生 HTML/CSS/JavaScript 和 Docker Compose，优先保证课堂演示稳定；FastAPI、PostgreSQL、Vue/React 可作为后续扩展方案。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49"/>
        <w:gridCol w:w="1549"/>
        <w:gridCol w:w="1549"/>
        <w:gridCol w:w="1549"/>
        <w:gridCol w:w="1549"/>
        <w:gridCol w:w="1549"/>
      </w:tblGrid>
      <w:tr>
        <w:tc>
          <w:tcPr>
            <w:tcW w:type="dxa" w:w="1549"/>
            <w:shd w:fill="D9EAF7"/>
          </w:tcPr>
          <w:p>
            <w:r>
              <w:rPr>
                <w:rFonts w:ascii="宋体" w:hAnsi="宋体" w:eastAsia="宋体"/>
                <w:sz w:val="18"/>
              </w:rPr>
              <w:t>方案</w:t>
            </w:r>
          </w:p>
        </w:tc>
        <w:tc>
          <w:tcPr>
            <w:tcW w:type="dxa" w:w="1549"/>
            <w:shd w:fill="D9EAF7"/>
          </w:tcPr>
          <w:p>
            <w:r>
              <w:rPr>
                <w:rFonts w:ascii="宋体" w:hAnsi="宋体" w:eastAsia="宋体"/>
                <w:sz w:val="18"/>
              </w:rPr>
              <w:t>学习成本</w:t>
            </w:r>
          </w:p>
        </w:tc>
        <w:tc>
          <w:tcPr>
            <w:tcW w:type="dxa" w:w="1549"/>
            <w:shd w:fill="D9EAF7"/>
          </w:tcPr>
          <w:p>
            <w:r>
              <w:rPr>
                <w:rFonts w:ascii="宋体" w:hAnsi="宋体" w:eastAsia="宋体"/>
                <w:sz w:val="18"/>
              </w:rPr>
              <w:t>实现效率</w:t>
            </w:r>
          </w:p>
        </w:tc>
        <w:tc>
          <w:tcPr>
            <w:tcW w:type="dxa" w:w="1549"/>
            <w:shd w:fill="D9EAF7"/>
          </w:tcPr>
          <w:p>
            <w:r>
              <w:rPr>
                <w:rFonts w:ascii="宋体" w:hAnsi="宋体" w:eastAsia="宋体"/>
                <w:sz w:val="18"/>
              </w:rPr>
              <w:t>演示稳定性</w:t>
            </w:r>
          </w:p>
        </w:tc>
        <w:tc>
          <w:tcPr>
            <w:tcW w:type="dxa" w:w="1549"/>
            <w:shd w:fill="D9EAF7"/>
          </w:tcPr>
          <w:p>
            <w:r>
              <w:rPr>
                <w:rFonts w:ascii="宋体" w:hAnsi="宋体" w:eastAsia="宋体"/>
                <w:sz w:val="18"/>
              </w:rPr>
              <w:t>扩展能力</w:t>
            </w:r>
          </w:p>
        </w:tc>
        <w:tc>
          <w:tcPr>
            <w:tcW w:type="dxa" w:w="1549"/>
            <w:shd w:fill="D9EAF7"/>
          </w:tcPr>
          <w:p>
            <w:r>
              <w:rPr>
                <w:rFonts w:ascii="宋体" w:hAnsi="宋体" w:eastAsia="宋体"/>
                <w:sz w:val="18"/>
              </w:rPr>
              <w:t>综合结论</w:t>
            </w:r>
          </w:p>
        </w:tc>
      </w:tr>
      <w:tr>
        <w:tc>
          <w:tcPr>
            <w:tcW w:type="dxa" w:w="1549"/>
          </w:tcPr>
          <w:p>
            <w:r>
              <w:rPr>
                <w:rFonts w:ascii="宋体" w:hAnsi="宋体" w:eastAsia="宋体"/>
                <w:sz w:val="18"/>
              </w:rPr>
              <w:t>Python 标准库 HTTP 服务</w:t>
            </w:r>
          </w:p>
        </w:tc>
        <w:tc>
          <w:tcPr>
            <w:tcW w:type="dxa" w:w="1549"/>
          </w:tcPr>
          <w:p>
            <w:r>
              <w:rPr>
                <w:rFonts w:ascii="宋体" w:hAnsi="宋体" w:eastAsia="宋体"/>
                <w:sz w:val="18"/>
              </w:rPr>
              <w:t>5</w:t>
            </w:r>
          </w:p>
        </w:tc>
        <w:tc>
          <w:tcPr>
            <w:tcW w:type="dxa" w:w="1549"/>
          </w:tcPr>
          <w:p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type="dxa" w:w="1549"/>
          </w:tcPr>
          <w:p>
            <w:r>
              <w:rPr>
                <w:rFonts w:ascii="宋体" w:hAnsi="宋体" w:eastAsia="宋体"/>
                <w:sz w:val="18"/>
              </w:rPr>
              <w:t>5</w:t>
            </w:r>
          </w:p>
        </w:tc>
        <w:tc>
          <w:tcPr>
            <w:tcW w:type="dxa" w:w="1549"/>
          </w:tcPr>
          <w:p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type="dxa" w:w="1549"/>
          </w:tcPr>
          <w:p>
            <w:r>
              <w:rPr>
                <w:rFonts w:ascii="宋体" w:hAnsi="宋体" w:eastAsia="宋体"/>
                <w:sz w:val="18"/>
              </w:rPr>
              <w:t>当前版本采用，适合本地演示</w:t>
            </w:r>
          </w:p>
        </w:tc>
      </w:tr>
      <w:tr>
        <w:tc>
          <w:tcPr>
            <w:tcW w:type="dxa" w:w="1549"/>
          </w:tcPr>
          <w:p>
            <w:r>
              <w:rPr>
                <w:rFonts w:ascii="宋体" w:hAnsi="宋体" w:eastAsia="宋体"/>
                <w:sz w:val="18"/>
              </w:rPr>
              <w:t>FastAPI</w:t>
            </w:r>
          </w:p>
        </w:tc>
        <w:tc>
          <w:tcPr>
            <w:tcW w:type="dxa" w:w="1549"/>
          </w:tcPr>
          <w:p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type="dxa" w:w="1549"/>
          </w:tcPr>
          <w:p>
            <w:r>
              <w:rPr>
                <w:rFonts w:ascii="宋体" w:hAnsi="宋体" w:eastAsia="宋体"/>
                <w:sz w:val="18"/>
              </w:rPr>
              <w:t>5</w:t>
            </w:r>
          </w:p>
        </w:tc>
        <w:tc>
          <w:tcPr>
            <w:tcW w:type="dxa" w:w="1549"/>
          </w:tcPr>
          <w:p>
            <w:r>
              <w:rPr>
                <w:rFonts w:ascii="宋体" w:hAnsi="宋体" w:eastAsia="宋体"/>
                <w:sz w:val="18"/>
              </w:rPr>
              <w:t>5</w:t>
            </w:r>
          </w:p>
        </w:tc>
        <w:tc>
          <w:tcPr>
            <w:tcW w:type="dxa" w:w="1549"/>
          </w:tcPr>
          <w:p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type="dxa" w:w="1549"/>
          </w:tcPr>
          <w:p>
            <w:r>
              <w:rPr>
                <w:rFonts w:ascii="宋体" w:hAnsi="宋体" w:eastAsia="宋体"/>
                <w:sz w:val="18"/>
              </w:rPr>
              <w:t>后续接口文档化和扩展时可迁移</w:t>
            </w:r>
          </w:p>
        </w:tc>
      </w:tr>
      <w:tr>
        <w:tc>
          <w:tcPr>
            <w:tcW w:type="dxa" w:w="1549"/>
          </w:tcPr>
          <w:p>
            <w:r>
              <w:rPr>
                <w:rFonts w:ascii="宋体" w:hAnsi="宋体" w:eastAsia="宋体"/>
                <w:sz w:val="18"/>
              </w:rPr>
              <w:t>SQLite</w:t>
            </w:r>
          </w:p>
        </w:tc>
        <w:tc>
          <w:tcPr>
            <w:tcW w:type="dxa" w:w="1549"/>
          </w:tcPr>
          <w:p>
            <w:r>
              <w:rPr>
                <w:rFonts w:ascii="宋体" w:hAnsi="宋体" w:eastAsia="宋体"/>
                <w:sz w:val="18"/>
              </w:rPr>
              <w:t>5</w:t>
            </w:r>
          </w:p>
        </w:tc>
        <w:tc>
          <w:tcPr>
            <w:tcW w:type="dxa" w:w="1549"/>
          </w:tcPr>
          <w:p>
            <w:r>
              <w:rPr>
                <w:rFonts w:ascii="宋体" w:hAnsi="宋体" w:eastAsia="宋体"/>
                <w:sz w:val="18"/>
              </w:rPr>
              <w:t>5</w:t>
            </w:r>
          </w:p>
        </w:tc>
        <w:tc>
          <w:tcPr>
            <w:tcW w:type="dxa" w:w="1549"/>
          </w:tcPr>
          <w:p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type="dxa" w:w="1549"/>
          </w:tcPr>
          <w:p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type="dxa" w:w="1549"/>
          </w:tcPr>
          <w:p>
            <w:r>
              <w:rPr>
                <w:rFonts w:ascii="宋体" w:hAnsi="宋体" w:eastAsia="宋体"/>
                <w:sz w:val="18"/>
              </w:rPr>
              <w:t>适合本地演示和快速交付</w:t>
            </w:r>
          </w:p>
        </w:tc>
      </w:tr>
      <w:tr>
        <w:tc>
          <w:tcPr>
            <w:tcW w:type="dxa" w:w="1549"/>
          </w:tcPr>
          <w:p>
            <w:r>
              <w:rPr>
                <w:rFonts w:ascii="宋体" w:hAnsi="宋体" w:eastAsia="宋体"/>
                <w:sz w:val="18"/>
              </w:rPr>
              <w:t>PostgreSQL</w:t>
            </w:r>
          </w:p>
        </w:tc>
        <w:tc>
          <w:tcPr>
            <w:tcW w:type="dxa" w:w="1549"/>
          </w:tcPr>
          <w:p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type="dxa" w:w="1549"/>
          </w:tcPr>
          <w:p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type="dxa" w:w="1549"/>
          </w:tcPr>
          <w:p>
            <w:r>
              <w:rPr>
                <w:rFonts w:ascii="宋体" w:hAnsi="宋体" w:eastAsia="宋体"/>
                <w:sz w:val="18"/>
              </w:rPr>
              <w:t>5</w:t>
            </w:r>
          </w:p>
        </w:tc>
        <w:tc>
          <w:tcPr>
            <w:tcW w:type="dxa" w:w="1549"/>
          </w:tcPr>
          <w:p>
            <w:r>
              <w:rPr>
                <w:rFonts w:ascii="宋体" w:hAnsi="宋体" w:eastAsia="宋体"/>
                <w:sz w:val="18"/>
              </w:rPr>
              <w:t>5</w:t>
            </w:r>
          </w:p>
        </w:tc>
        <w:tc>
          <w:tcPr>
            <w:tcW w:type="dxa" w:w="1549"/>
          </w:tcPr>
          <w:p>
            <w:r>
              <w:rPr>
                <w:rFonts w:ascii="宋体" w:hAnsi="宋体" w:eastAsia="宋体"/>
                <w:sz w:val="18"/>
              </w:rPr>
              <w:t>适合正式部署和扩展</w:t>
            </w:r>
          </w:p>
        </w:tc>
      </w:tr>
    </w:tbl>
    <w:p/>
    <w:sectPr w:rsidR="00FC693F" w:rsidRPr="0006063C" w:rsidSect="00034616">
      <w:pgSz w:w="12240" w:h="15840"/>
      <w:pgMar w:top="1417" w:right="1361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