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信息收集整合系统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信息收集整合系统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/ GB856T——88 文档格式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文档来源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项目文档/兰玉杰文档复核记录.md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格式处理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由罗元恒统一整理为 Word 版本，原作者与修订情况以正文记录为准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整理日期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  <w:shd w:fill="EAF2F8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信息收集整合系统</w:t>
      </w:r>
    </w:p>
    <w:p>
      <w:pPr>
        <w:pStyle w:val="Heading2"/>
      </w:pPr>
      <w:r>
        <w:t>兰玉杰文档复核记录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文档编号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REVIEW-LYJ-001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执行标准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参考 GB8567——88 文档格式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密级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内部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复核日期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修订日期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复核人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审核人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复核对象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兰玉杰提交的分析模块相关材料</w:t>
            </w:r>
          </w:p>
        </w:tc>
      </w:tr>
    </w:tbl>
    <w:p/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形成兰玉杰分析模块材料复核记录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补充 GB 文档格式字段和主线报表依赖说明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补充分析模块资料形成和复核时间记录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1 复核范围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文件类型检查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复核方式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兰玉杰部分/工作说明.doc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Microsoft Word 2007+ 包格式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抽取 word/document.xml 正文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兰玉杰部分/可行性研究报告（GB8567——88）.doc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Microsoft Word 2007+ 包格式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抽取 word/document.xml 正文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兰玉杰部分/模块开发卷宗（GB8567——88）.doc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Word 复合文档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检查元数据和 UTF-16 文本片段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基本通过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兰玉杰部分/analysis.py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源码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阅读函数实现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已合并主线思路</w:t>
            </w:r>
          </w:p>
        </w:tc>
      </w:tr>
    </w:tbl>
    <w:p/>
    <w:p>
      <w:pPr>
        <w:pStyle w:val="Heading2"/>
      </w:pPr>
      <w:r>
        <w:t>2 复核发现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《工作说明》明确列出兰玉杰负责《可行性研究报告》《模块开发卷宗-分析篇》、趋势计算算法改进和趋势描述逻辑完善，和分工文档一致。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《可行性研究报告》包含 GB8567——88 目录结构，正文围绕“信息收集整合系统”的技术、经济、操作和法律可行性展开。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《可行性研究报告》中明确论证 Python 标准库为主 + SQLite 的技术路线，并说明时间衰减因子在趋势分析中的作用；主线报表导出补充使用 openpyxl/reportlab。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《模块开发卷宗》可提取到 calculate_trends、trend_direction、decay_factor = 0.90  days_diff 等关键词，内容方向与分析模块一致。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analysis.py 中包含趋势方向扩展和时间衰减算法，相关思路已经并入主线 app/analysis.py。</w:t>
      </w:r>
    </w:p>
    <w:p>
      <w:pPr>
        <w:pStyle w:val="Heading2"/>
      </w:pPr>
      <w:r>
        <w:t>3 复核时间记录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记录说明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2026-06-15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可行性分析材料和分析模块边界整理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对应可行性研究报告初稿内容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2026-06-17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趋势方向、时间衰减和主题分析逻辑整理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兰玉杰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对应分析模块开发卷宗和 analysis.py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分析模块思路并入主线趋势接口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罗元恒、兰玉杰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对齐 /api/v1/trends 和主题分析输出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复核兰玉杰提交材料、抽取正文和关键算法说明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 V1.0 复核记录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统一 GB 文档字段、补充报表依赖和复核时间记录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 V1.2 修订记录</w:t>
            </w:r>
          </w:p>
        </w:tc>
      </w:tr>
    </w:tbl>
    <w:p/>
    <w:p>
      <w:pPr>
        <w:pStyle w:val="Heading2"/>
      </w:pPr>
      <w:r>
        <w:t>4 处理意见</w:t>
      </w:r>
    </w:p>
    <w:p>
      <w:r>
        <w:rPr>
          <w:rFonts w:ascii="宋体" w:hAnsi="宋体" w:eastAsia="宋体"/>
          <w:b w:val="0"/>
          <w:sz w:val="22"/>
        </w:rPr>
        <w:t>兰玉杰提交的材料方向正确，可以作为分析模块交付物纳入最终归档。由于《模块开发卷宗》为旧 Word 复合文档格式，自动抽取能力有限，答辩前建议罗元恒用 WPS 或 Word 再人工打开确认版式；从当前可提取文本和元数据看，内容与分工不冲突。</w:t>
      </w:r>
    </w:p>
    <w:p>
      <w:r>
        <w:rPr>
          <w:rFonts w:ascii="宋体" w:hAnsi="宋体" w:eastAsia="宋体"/>
          <w:b w:val="0"/>
          <w:sz w:val="22"/>
        </w:rPr>
        <w:t>复核人：罗元恒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p>
      <w:r>
        <w:rPr>
          <w:rFonts w:ascii="宋体" w:hAnsi="宋体" w:eastAsia="宋体"/>
          <w:b w:val="0"/>
          <w:sz w:val="22"/>
        </w:rPr>
        <w:t>批准日期：2026-06-24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