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信息收集整合系统</w:t>
      </w:r>
    </w:p>
    <w:p>
      <w:pPr>
        <w:jc w:val="center"/>
      </w:pPr>
      <w:r>
        <w:rPr>
          <w:rFonts w:ascii="宋体" w:hAnsi="宋体" w:eastAsia="宋体"/>
          <w:b/>
          <w:sz w:val="40"/>
        </w:rPr>
        <w:t>概要设计说明书</w:t>
      </w:r>
    </w:p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文档编号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HLD-001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执行标准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GB8567——88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版本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V1.0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密级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内部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学校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课程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班级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学号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指导老师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【待填写】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编写人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罗元恒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编写日期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20"/>
              </w:rPr>
              <w:t>2026-06-13</w:t>
            </w:r>
          </w:p>
        </w:tc>
      </w:tr>
    </w:tbl>
    <w:p>
      <w:pPr>
        <w:sectPr>
          <w:pgSz w:w="12240" w:h="15840"/>
          <w:pgMar w:top="1417" w:right="1361" w:bottom="1417" w:left="1587" w:header="720" w:footer="720" w:gutter="0"/>
          <w:cols w:space="720"/>
          <w:docGrid w:linePitch="360"/>
        </w:sectPr>
      </w:pPr>
    </w:p>
    <w:p>
      <w:pPr>
        <w:pStyle w:val="Heading1"/>
      </w:pPr>
      <w:r>
        <w:rPr>
          <w:rFonts w:ascii="宋体" w:hAnsi="宋体" w:eastAsia="宋体"/>
          <w:b/>
          <w:sz w:val="28"/>
        </w:rPr>
        <w:t>版本记录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23"/>
        <w:gridCol w:w="2323"/>
        <w:gridCol w:w="2323"/>
        <w:gridCol w:w="2323"/>
      </w:tblGrid>
      <w:tr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版本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日期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修改内容</w:t>
            </w:r>
          </w:p>
        </w:tc>
        <w:tc>
          <w:tcPr>
            <w:tcW w:type="dxa" w:w="2323"/>
            <w:shd w:fill="D9EAF7"/>
          </w:tcPr>
          <w:p>
            <w:r>
              <w:rPr>
                <w:rFonts w:ascii="宋体" w:hAnsi="宋体" w:eastAsia="宋体"/>
                <w:sz w:val="18"/>
              </w:rPr>
              <w:t>修改人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V1.0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2026-06-13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形成概要设计说明书初稿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V1.1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自查修订概要设计说明书，补充需求/API/字段/图表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  <w:tr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V1.2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2026-06-24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最终格式统一与交付前核对</w:t>
            </w:r>
          </w:p>
        </w:tc>
        <w:tc>
          <w:tcPr>
            <w:tcW w:type="dxa" w:w="2323"/>
          </w:tcPr>
          <w:p>
            <w:r>
              <w:rPr>
                <w:rFonts w:ascii="宋体" w:hAnsi="宋体" w:eastAsia="宋体"/>
                <w:sz w:val="18"/>
              </w:rPr>
              <w:t>罗元恒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目录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本文档采用 Word 标题样式组织目录。正式提交前可在 Word/WPS 中通过“引用-目录-更新目录”生成自动目录。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文档说明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本文档说明信息收集整合系统的总体架构、模块结构、接口关系、数据流、关键处理流程和技术选型依据。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1 引言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概要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做概要设计的时候，大家注意每步的输入和输出都要留记录。需求不是写出来就完了，得能对应到设计、数据库和测试用例。不然答辩的时候老师说「你这个需求在哪实现了」，我们拿不出证据就很被动。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2 总体设计思想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总体设计思想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做总体设计思想的时候，大家注意每步的输入和输出都要留记录。需求不是写出来就完了，得能对应到设计、数据库和测试用例。不然答辩的时候老师说「你这个需求在哪实现了」，我们拿不出证据就很被动。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总体设计思想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3 系统总体架构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我们采用了前后端分离的方案，后端管采集、清洗、分析这些脏活累活，前端只管展示和交互。前后端通过 API 通信，互不干扰。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整个数据流是这么走的：配好数据源→启动采集任务→原始数据落库→清洗归并→算指标→展示到页面→导出报表。一条龙。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层次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组成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展示层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仪表盘、趋势图、表格、报表导出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负责用户交互和结果展示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接口层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REST API、参数校验、统一错误响应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负责前后端通信和统一访问入口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业务层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采集、清洗、分析、配置、报表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承载系统主要业务逻辑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数据层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关系数据库、全文索引、文件存储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负责数据持久化和检索支持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4 系统模块划分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我们把系统按职责拆成了六个模块，每个模块管一摊事。模块之间通过统一的数据对象和接口来对接，采集的不直接写展示，分析的不直接改原始数据，各干各的活。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这样分的好处是：每个人写的代码对应自己的文档，文档对应自己的模块，到时候答辩老师一问「你负责什么」，每个人都能说清楚自己干了啥。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646"/>
        <w:gridCol w:w="4646"/>
      </w:tblGrid>
      <w:tr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模块</w:t>
            </w:r>
          </w:p>
        </w:tc>
        <w:tc>
          <w:tcPr>
            <w:tcW w:type="dxa" w:w="4646"/>
            <w:shd w:fill="D9EAF7"/>
          </w:tcPr>
          <w:p>
            <w:r>
              <w:rPr>
                <w:rFonts w:ascii="宋体" w:hAnsi="宋体" w:eastAsia="宋体"/>
                <w:sz w:val="18"/>
              </w:rPr>
              <w:t>主要职责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多源信息采集引擎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负责新闻、论坛、公开接口、文件导入等来源的接入，形成统一原始数据对象。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数据清洗与归并模块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负责去重、字段规范化、噪声过滤、实体合并和质量标记。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信息存储与索引模块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负责结构化存储、全文索引、标签索引和历史版本管理。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趋势分析与洞察模块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负责热点发现、趋势评分、主题聚类、关联分析和异常提醒。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可视化展示与报表模块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负责仪表盘、趋势图、明细表、导出报表和演示视图。</w:t>
            </w:r>
          </w:p>
        </w:tc>
      </w:tr>
      <w:tr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配置管理与审计扩展模块</w:t>
            </w:r>
          </w:p>
        </w:tc>
        <w:tc>
          <w:tcPr>
            <w:tcW w:type="dxa" w:w="4646"/>
          </w:tcPr>
          <w:p>
            <w:r>
              <w:rPr>
                <w:rFonts w:ascii="宋体" w:hAnsi="宋体" w:eastAsia="宋体"/>
                <w:sz w:val="18"/>
              </w:rPr>
              <w:t>负责数据源配置、阈值配置、审计日志，并预留账号权限扩展。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5 接口设计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接口采用 REST 风格，统一前缀为 /api/v1。当前演示版本重点实现参数校验、400/404 错误区分和 CORS 支持，登录令牌和权限拦截作为后续扩展。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前端页面不直接访问数据库，所有数据源配置、采集任务、信息检索、趋势分析和报表导出均通过后端接口完成。接口定义如下表所示，后续详细设计可在此基础上补充字段校验规则。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49"/>
        <w:gridCol w:w="1549"/>
        <w:gridCol w:w="1549"/>
        <w:gridCol w:w="1549"/>
        <w:gridCol w:w="1549"/>
        <w:gridCol w:w="1549"/>
      </w:tblGrid>
      <w:tr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方法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路径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用途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请求参数/体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响应数据</w:t>
            </w:r>
          </w:p>
        </w:tc>
        <w:tc>
          <w:tcPr>
            <w:tcW w:type="dxa" w:w="1549"/>
            <w:shd w:fill="D9EAF7"/>
          </w:tcPr>
          <w:p>
            <w:r>
              <w:rPr>
                <w:rFonts w:ascii="宋体" w:hAnsi="宋体" w:eastAsia="宋体"/>
                <w:sz w:val="18"/>
              </w:rPr>
              <w:t>权限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POST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/api/v1/sources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新增数据源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{name,type,endpoint,keywords,schedule}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{id,status}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管理员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/api/v1/sources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查询数据源列表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type,status,page,size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{items,total}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管理员/分析员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POST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/api/v1/tasks/collect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启动采集任务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{source_id}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{id,status,success_count,failed_count}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/api/v1/tasks/{task_id}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查询任务状态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task_id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{status,success_count,failed_count,error_message}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管理员/分析员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/api/v1/items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检索信息明细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keyword,source_id,limit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{items,total}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/api/v1/items/{item_id}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查看信息详情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item_id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{id,raw_id,title,content,keywords,quality_score}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/api/v1/trends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查询趋势榜单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source_id,limit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{items,total}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/api/v1/trends/{topic}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查看主题趋势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topic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{topic,series,related_items}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/api/v1/reports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查询报表记录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{items,total}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POST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/api/v1/reports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生成分析报表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{report_type,format,generated_by}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{id,report_name,download_url}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/api/v1/reports/{report_id}/download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下载报表文件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report_id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xlsx/pdf 文件流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演示用户</w:t>
            </w:r>
          </w:p>
        </w:tc>
      </w:tr>
      <w:tr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GET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/api/v1/health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系统健康检查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无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{status,db,version,time}</w:t>
            </w:r>
          </w:p>
        </w:tc>
        <w:tc>
          <w:tcPr>
            <w:tcW w:type="dxa" w:w="1549"/>
          </w:tcPr>
          <w:p>
            <w:r>
              <w:rPr>
                <w:rFonts w:ascii="宋体" w:hAnsi="宋体" w:eastAsia="宋体"/>
                <w:sz w:val="18"/>
              </w:rPr>
              <w:t>公开/运维</w:t>
            </w:r>
          </w:p>
        </w:tc>
      </w:tr>
    </w:tbl>
    <w:p/>
    <w:p>
      <w:pPr>
        <w:pStyle w:val="Heading1"/>
      </w:pPr>
      <w:r>
        <w:rPr>
          <w:rFonts w:ascii="宋体" w:hAnsi="宋体" w:eastAsia="宋体"/>
          <w:b/>
          <w:sz w:val="28"/>
        </w:rPr>
        <w:t>6 关键流程设计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关键流程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做关键流程设计的时候，大家注意每步的输入和输出都要留记录。需求不是写出来就完了，得能对应到设计、数据库和测试用例。不然答辩的时候老师说「你这个需求在哪实现了」，我们拿不出证据就很被动。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键流程设计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这个项目说到底是个课程作业，我们的底线是架构完整、文档规范、核心流程能跑通、答辩能演示。像高并发、复杂权限、多租户这些东西，文档里提一下作为扩展方向就行，本期不要求实现，别在这上面浪费时间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7 异常处理与日志设计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异常处理与日志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异常处理与日志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异常处理与日志设计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8 安全与后续权限设计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安全与后续权限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安全与后续权限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安全与后续权限设计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9 可扩展性设计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关于可扩展性设计这部分，我们主要还是面向课程实践来做的。系统要能真正跑起来，不能光有文档没有代码。我们把采集、清洗、存储、分析、展示和管理拆成了六个独立模块，这样组员之间可以并行开发，互不耽误，最后再统一联调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做可扩展性设计的时候，大家注意每步的输入和输出都要留记录。需求不是写出来就完了，得能对应到设计、数据库和测试用例。不然答辩的时候老师说「你这个需求在哪实现了」，我们拿不出证据就很被动。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可扩展性设计这边几个容易出问题的点：数据源说崩就崩、清洗规则各写各的、分析结果解释不清、前端和后端接口对不上、文档格式五花八门。我的想法是通过统一模板、阶段验收和评审会议来卡住这些风险，每个节点检查完再往下走。</w:t>
      </w:r>
    </w:p>
    <w:p>
      <w:pPr>
        <w:pStyle w:val="Heading1"/>
      </w:pPr>
      <w:r>
        <w:rPr>
          <w:rFonts w:ascii="宋体" w:hAnsi="宋体" w:eastAsia="宋体"/>
          <w:b/>
          <w:sz w:val="28"/>
        </w:rPr>
        <w:t>附录：统一响应格式与模块依赖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后端接口统一返回 JSON 对象，成功时 code 为 0，失败时 code 为业务错误码。trace_id 用于关联日志，便于测试人员定位一次请求在采集、清洗或分析过程中的异常。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模块依赖采用单向调用原则：展示模块只调用接口层，接口层只调用业务服务，业务服务通过仓储对象访问数据库。分析模块不得直接修改原始数据，清洗模块不得直接生成报表。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错误响应按场景划分：400 表示参数或请求体错误，404 表示资源不存在，500 表示服务端异常。前端根据错误信息展示可理解提示，后端保留必要日志便于排查。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模块边界以数据对象为准。采集模块输出 RawItem，清洗模块输出 CleanItem，分析模块输出 TrendResult，展示模块只消费接口返回的 DTO。任何模块不得绕过接口直接读写其他模块内部状态。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部署层不承载业务规则，只负责配置、启动、健康检查和日志采集。</w:t>
      </w:r>
    </w:p>
    <w:p>
      <w:pPr>
        <w:spacing w:line="300" w:lineRule="auto" w:after="80"/>
        <w:ind w:firstLine="420"/>
      </w:pPr>
      <w:r>
        <w:rPr>
          <w:rFonts w:ascii="宋体" w:hAnsi="宋体" w:eastAsia="宋体"/>
          <w:sz w:val="20"/>
        </w:rPr>
        <w:t>接口版本保持兼容。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97"/>
        <w:gridCol w:w="3097"/>
        <w:gridCol w:w="3097"/>
      </w:tblGrid>
      <w:tr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字段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类型</w:t>
            </w:r>
          </w:p>
        </w:tc>
        <w:tc>
          <w:tcPr>
            <w:tcW w:type="dxa" w:w="3097"/>
            <w:shd w:fill="D9EAF7"/>
          </w:tcPr>
          <w:p>
            <w:r>
              <w:rPr>
                <w:rFonts w:ascii="宋体" w:hAnsi="宋体" w:eastAsia="宋体"/>
                <w:sz w:val="18"/>
              </w:rPr>
              <w:t>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code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int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0表示成功，非0表示业务错误或系统异常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message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string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面向前端展示的错误或成功说明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data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object/array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接口实际返回的数据</w:t>
            </w:r>
          </w:p>
        </w:tc>
      </w:tr>
      <w:tr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trace_id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string</w:t>
            </w:r>
          </w:p>
        </w:tc>
        <w:tc>
          <w:tcPr>
            <w:tcW w:type="dxa" w:w="3097"/>
          </w:tcPr>
          <w:p>
            <w:r>
              <w:rPr>
                <w:rFonts w:ascii="宋体" w:hAnsi="宋体" w:eastAsia="宋体"/>
                <w:sz w:val="18"/>
              </w:rPr>
              <w:t>请求链路跟踪编号，用于日志排查</w:t>
            </w:r>
          </w:p>
        </w:tc>
      </w:tr>
    </w:tbl>
    <w:p/>
    <w:sectPr w:rsidR="00FC693F" w:rsidRPr="0006063C" w:rsidSect="00034616">
      <w:pgSz w:w="12240" w:h="15840"/>
      <w:pgMar w:top="1417" w:right="1361" w:bottom="1417" w:left="158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