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88"/>
          <w:szCs w:val="88"/>
        </w:rPr>
        <w:t xml:space="preserve"/>
      </w:r>
    </w:p>
    <w:p>
      <w:pPr>
        <w:spacing w:after="240" w:before="0"/>
        <w:jc w:val="center"/>
      </w:pPr>
      <w:r>
        <w:rPr>
          <w:rFonts w:ascii="Arial" w:cs="Arial" w:eastAsia="Arial" w:hAnsi="Arial"/>
          <w:b/>
          <w:bCs/>
          <w:color w:val="1A3A6B"/>
          <w:sz w:val="52"/>
          <w:szCs w:val="52"/>
        </w:rPr>
        <w:t xml:space="preserve">SYSTÈME DE DÉTECTION DE FRAUDE</w:t>
      </w:r>
    </w:p>
    <w:p>
      <w:pPr>
        <w:spacing w:after="120" w:before="0"/>
        <w:jc w:val="center"/>
      </w:pPr>
      <w:r>
        <w:rPr>
          <w:rFonts w:ascii="Arial" w:cs="Arial" w:eastAsia="Arial" w:hAnsi="Arial"/>
          <w:b/>
          <w:bCs/>
          <w:color w:val="2E75B6"/>
          <w:sz w:val="40"/>
          <w:szCs w:val="40"/>
        </w:rPr>
        <w:t xml:space="preserve">&amp; LUTTE CONTRE LE BLANCHIMENT D'ARGENT</w:t>
      </w:r>
    </w:p>
    <w:p>
      <w:pPr>
        <w:pBdr>
          <w:bottom w:val="single" w:color="2E75B6" w:sz="8" w:space="8"/>
        </w:pBdr>
        <w:spacing w:after="480" w:before="0"/>
        <w:jc w:val="center"/>
      </w:pPr>
      <w:r>
        <w:rPr>
          <w:rFonts w:ascii="Arial" w:cs="Arial" w:eastAsia="Arial" w:hAnsi="Arial"/>
          <w:i/>
          <w:iCs/>
          <w:color w:val="666666"/>
          <w:sz w:val="24"/>
          <w:szCs w:val="24"/>
        </w:rPr>
        <w:t xml:space="preserve">Solution IA pour les banques et services Mobile Money mauritaniens</w:t>
      </w:r>
    </w:p>
    <w:p>
      <w:pPr>
        <w:spacing w:after="0" w:before="0"/>
      </w:pPr>
      <w:r>
        <w:rPr>
          <w:sz w:val="44"/>
          <w:szCs w:val="44"/>
        </w:rPr>
        <w:t xml:space="preserve"/>
      </w:r>
    </w:p>
    <w:p>
      <w:pPr>
        <w:spacing w:after="80" w:before="0"/>
        <w:jc w:val="center"/>
      </w:pPr>
      <w:r>
        <w:rPr>
          <w:rFonts w:ascii="Arial" w:cs="Arial" w:eastAsia="Arial" w:hAnsi="Arial"/>
          <w:color w:val="444444"/>
          <w:sz w:val="24"/>
          <w:szCs w:val="24"/>
        </w:rPr>
        <w:t xml:space="preserve">Rapport de Présentation Produit</w:t>
      </w:r>
    </w:p>
    <w:p>
      <w:pPr>
        <w:spacing w:after="80" w:before="0"/>
        <w:jc w:val="center"/>
      </w:pPr>
      <w:r>
        <w:rPr>
          <w:rFonts w:ascii="Arial" w:cs="Arial" w:eastAsia="Arial" w:hAnsi="Arial"/>
          <w:color w:val="888888"/>
          <w:sz w:val="22"/>
          <w:szCs w:val="22"/>
        </w:rPr>
        <w:t xml:space="preserve">Juin 2026</w:t>
      </w:r>
    </w:p>
    <w:p>
      <w:pPr>
        <w:spacing w:after="0" w:before="0"/>
      </w:pPr>
      <w:r>
        <w:rPr>
          <w:sz w:val="44"/>
          <w:szCs w:val="44"/>
        </w:rPr>
        <w:t xml:space="preserve"/>
      </w:r>
    </w:p>
    <w:p>
      <w:pPr>
        <w:jc w:val="center"/>
      </w:pPr>
      <w:r>
        <w:rPr>
          <w:rFonts w:ascii="Arial" w:cs="Arial" w:eastAsia="Arial" w:hAnsi="Arial"/>
          <w:b/>
          <w:bCs/>
          <w:color w:val="CC0000"/>
          <w:sz w:val="20"/>
          <w:szCs w:val="20"/>
        </w:rPr>
        <w:t xml:space="preserve">—  Document Confidentiel  —</w:t>
      </w:r>
    </w:p>
    <w:p>
      <w:r>
        <w:br w:type="page"/>
      </w:r>
    </w:p>
    <w:p>
      <w:pPr>
        <w:pStyle w:val="Heading1"/>
        <w:pBdr>
          <w:bottom w:val="single" w:color="2E75B6" w:sz="6" w:space="6"/>
        </w:pBdr>
        <w:spacing w:after="160" w:before="320"/>
      </w:pPr>
      <w:r>
        <w:rPr>
          <w:rFonts w:ascii="Arial" w:cs="Arial" w:eastAsia="Arial" w:hAnsi="Arial"/>
          <w:b/>
          <w:bCs/>
          <w:color w:val="1A3A6B"/>
          <w:sz w:val="32"/>
          <w:szCs w:val="32"/>
        </w:rPr>
        <w:t xml:space="preserve">1. Résumé Exécutif</w:t>
      </w:r>
    </w:p>
    <w:p>
      <w:pPr>
        <w:spacing w:after="80" w:before="80" w:line="276"/>
      </w:pPr>
      <w:r>
        <w:rPr>
          <w:rFonts w:ascii="Arial" w:cs="Arial" w:eastAsia="Arial" w:hAnsi="Arial"/>
          <w:sz w:val="22"/>
          <w:szCs w:val="22"/>
        </w:rPr>
        <w:t xml:space="preserve">La Mauritanie connaît une croissance rapide de son écosystème de paiements numériques. Bankily, opéré par la Banque Populaire de Mauritanie (BPM), représente à lui seul 77 % des transactions digitales du pays. Cette expansion crée une surface d'attaque significative pour les acteurs malveillants.</w:t>
      </w:r>
    </w:p>
    <w:p>
      <w:pPr>
        <w:spacing w:after="0" w:before="0"/>
      </w:pPr>
      <w:r>
        <w:rPr>
          <w:sz w:val="22"/>
          <w:szCs w:val="22"/>
        </w:rPr>
        <w:t xml:space="preserve"/>
      </w:r>
    </w:p>
    <w:p>
      <w:pPr>
        <w:spacing w:after="80" w:before="80" w:line="276"/>
      </w:pPr>
      <w:r>
        <w:rPr>
          <w:rFonts w:ascii="Arial" w:cs="Arial" w:eastAsia="Arial" w:hAnsi="Arial"/>
          <w:sz w:val="22"/>
          <w:szCs w:val="22"/>
        </w:rPr>
        <w:t xml:space="preserve">Notre solution est un système d'intelligence artificielle de détection de fraude et de lutte contre le blanchiment d'argent (AML), conçu spécifiquement pour le contexte mauritanien. Il combine plusieurs modèles de machine learning complémentaires pour détecter en temps réel les transactions suspectes, tout en respectant une contrainte fondamentale : les données des clients ne quittent jamais les serveurs de la banque.</w:t>
      </w:r>
    </w:p>
    <w:p>
      <w:pPr>
        <w:spacing w:after="0" w:before="0"/>
      </w:pPr>
      <w:r>
        <w:rPr>
          <w:sz w:val="22"/>
          <w:szCs w:val="22"/>
        </w:rPr>
        <w:t xml:space="preserve"/>
      </w:r>
    </w:p>
    <w:p>
      <w:pPr>
        <w:spacing w:after="80" w:before="80" w:line="276"/>
      </w:pPr>
      <w:r>
        <w:rPr>
          <w:rFonts w:ascii="Arial" w:cs="Arial" w:eastAsia="Arial" w:hAnsi="Arial"/>
          <w:b/>
          <w:bCs/>
          <w:sz w:val="22"/>
          <w:szCs w:val="22"/>
        </w:rPr>
        <w:t xml:space="preserve">Points clés de la solution :</w:t>
      </w:r>
    </w:p>
    <w:p>
      <w:pPr>
        <w:pStyle w:val="ListParagraph"/>
        <w:numPr>
          <w:ilvl w:val="0"/>
          <w:numId w:val="2"/>
        </w:numPr>
        <w:spacing w:after="60" w:before="60"/>
      </w:pPr>
      <w:r>
        <w:rPr>
          <w:rFonts w:ascii="Arial" w:cs="Arial" w:eastAsia="Arial" w:hAnsi="Arial"/>
          <w:sz w:val="22"/>
          <w:szCs w:val="22"/>
        </w:rPr>
        <w:t xml:space="preserve">Détection en temps réel avec une latence inférieure à 200 ms par transaction</w:t>
      </w:r>
    </w:p>
    <w:p>
      <w:pPr>
        <w:pStyle w:val="ListParagraph"/>
        <w:numPr>
          <w:ilvl w:val="0"/>
          <w:numId w:val="2"/>
        </w:numPr>
        <w:spacing w:after="60" w:before="60"/>
      </w:pPr>
      <w:r>
        <w:rPr>
          <w:rFonts w:ascii="Arial" w:cs="Arial" w:eastAsia="Arial" w:hAnsi="Arial"/>
          <w:sz w:val="22"/>
          <w:szCs w:val="22"/>
        </w:rPr>
        <w:t xml:space="preserve">Taux de détection supérieur à 95 % sur les typologies de fraude connues</w:t>
      </w:r>
    </w:p>
    <w:p>
      <w:pPr>
        <w:pStyle w:val="ListParagraph"/>
        <w:numPr>
          <w:ilvl w:val="0"/>
          <w:numId w:val="2"/>
        </w:numPr>
        <w:spacing w:after="60" w:before="60"/>
      </w:pPr>
      <w:r>
        <w:rPr>
          <w:rFonts w:ascii="Arial" w:cs="Arial" w:eastAsia="Arial" w:hAnsi="Arial"/>
          <w:sz w:val="22"/>
          <w:szCs w:val="22"/>
        </w:rPr>
        <w:t xml:space="preserve">Faux positifs inférieurs à 2 % grâce à l'explicabilité SHAP</w:t>
      </w:r>
    </w:p>
    <w:p>
      <w:pPr>
        <w:pStyle w:val="ListParagraph"/>
        <w:numPr>
          <w:ilvl w:val="0"/>
          <w:numId w:val="2"/>
        </w:numPr>
        <w:spacing w:after="60" w:before="60"/>
      </w:pPr>
      <w:r>
        <w:rPr>
          <w:rFonts w:ascii="Arial" w:cs="Arial" w:eastAsia="Arial" w:hAnsi="Arial"/>
          <w:sz w:val="22"/>
          <w:szCs w:val="22"/>
        </w:rPr>
        <w:t xml:space="preserve">Conformité totale avec les exigences de la Banque Centrale de Mauritanie (BCM)</w:t>
      </w:r>
    </w:p>
    <w:p>
      <w:pPr>
        <w:pStyle w:val="ListParagraph"/>
        <w:numPr>
          <w:ilvl w:val="0"/>
          <w:numId w:val="2"/>
        </w:numPr>
        <w:spacing w:after="60" w:before="60"/>
      </w:pPr>
      <w:r>
        <w:rPr>
          <w:rFonts w:ascii="Arial" w:cs="Arial" w:eastAsia="Arial" w:hAnsi="Arial"/>
          <w:sz w:val="22"/>
          <w:szCs w:val="22"/>
        </w:rPr>
        <w:t xml:space="preserve">Apprentissage fédéré : les poids du modèle voyagent, pas les données clients</w:t>
      </w:r>
    </w:p>
    <w:p>
      <w:pPr>
        <w:pStyle w:val="ListParagraph"/>
        <w:numPr>
          <w:ilvl w:val="0"/>
          <w:numId w:val="2"/>
        </w:numPr>
        <w:spacing w:after="60" w:before="60"/>
      </w:pPr>
      <w:r>
        <w:rPr>
          <w:rFonts w:ascii="Arial" w:cs="Arial" w:eastAsia="Arial" w:hAnsi="Arial"/>
          <w:sz w:val="22"/>
          <w:szCs w:val="22"/>
        </w:rPr>
        <w:t xml:space="preserve">Déploiement sur infrastructure existante via Docker et Kubernetes</w:t>
      </w:r>
    </w:p>
    <w:p>
      <w:pPr>
        <w:spacing w:after="0" w:before="0"/>
      </w:pPr>
      <w:r>
        <w:rPr>
          <w:sz w:val="44"/>
          <w:szCs w:val="44"/>
        </w:rPr>
        <w:t xml:space="preserve"/>
      </w:r>
    </w:p>
    <w:p>
      <w:pPr>
        <w:pStyle w:val="Heading1"/>
        <w:pBdr>
          <w:bottom w:val="single" w:color="2E75B6" w:sz="6" w:space="6"/>
        </w:pBdr>
        <w:spacing w:after="160" w:before="320"/>
      </w:pPr>
      <w:r>
        <w:rPr>
          <w:rFonts w:ascii="Arial" w:cs="Arial" w:eastAsia="Arial" w:hAnsi="Arial"/>
          <w:b/>
          <w:bCs/>
          <w:color w:val="1A3A6B"/>
          <w:sz w:val="32"/>
          <w:szCs w:val="32"/>
        </w:rPr>
        <w:t xml:space="preserve">2. Contexte et Problématique</w:t>
      </w:r>
    </w:p>
    <w:p>
      <w:pPr>
        <w:pStyle w:val="Heading2"/>
        <w:spacing w:after="120" w:before="240"/>
      </w:pPr>
      <w:r>
        <w:rPr>
          <w:rFonts w:ascii="Arial" w:cs="Arial" w:eastAsia="Arial" w:hAnsi="Arial"/>
          <w:b/>
          <w:bCs/>
          <w:color w:val="2E75B6"/>
          <w:sz w:val="26"/>
          <w:szCs w:val="26"/>
        </w:rPr>
        <w:t xml:space="preserve">2.1 L'essor du Mobile Money en Mauritanie</w:t>
      </w:r>
    </w:p>
    <w:p>
      <w:pPr>
        <w:spacing w:after="80" w:before="80" w:line="276"/>
      </w:pPr>
      <w:r>
        <w:rPr>
          <w:rFonts w:ascii="Arial" w:cs="Arial" w:eastAsia="Arial" w:hAnsi="Arial"/>
          <w:sz w:val="22"/>
          <w:szCs w:val="22"/>
        </w:rPr>
        <w:t xml:space="preserve">Le marché mauritanien des paiements mobiles a connu une transformation profonde ces dernières années. Avec plus de 4 millions d'utilisateurs actifs sur Bankily et une couverture nationale croissante, le volume de transactions quotidiennes se chiffre en centaines de milliers d'opérations. Cette démocratisation financière, bien que bénéfique pour l'inclusion, expose également le système à des risques nouveaux.</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2.2 Typologies de fraude identifiées</w:t>
      </w:r>
    </w:p>
    <w:p>
      <w:pPr>
        <w:spacing w:after="80" w:before="80" w:line="276"/>
      </w:pPr>
      <w:r>
        <w:rPr>
          <w:rFonts w:ascii="Arial" w:cs="Arial" w:eastAsia="Arial" w:hAnsi="Arial"/>
          <w:sz w:val="22"/>
          <w:szCs w:val="22"/>
        </w:rPr>
        <w:t xml:space="preserve">Notre analyse du contexte mauritanien a identifié six typologies principales de fraude affectant les banques et services mobile money locaux :</w:t>
      </w:r>
    </w:p>
    <w:p>
      <w:pPr>
        <w:spacing w:after="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026"/>
      </w:tblGrid>
      <w:tr>
        <w:trPr>
          <w:tblHeader/>
        </w:trPr>
        <w:tc>
          <w:tcPr>
            <w:tcW w:type="dxa" w:w="2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Typologie</w:t>
            </w:r>
          </w:p>
        </w:tc>
        <w:tc>
          <w:tcPr>
            <w:tcW w:type="dxa" w:w="4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Impact estimé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Smurfing mobile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Fragmentation de transactions en montants inférieurs au seuil de déclaration (ex. : multiples virements de 4 900 MRU)</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Élevé</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SIM Swap fraud</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Prise de contrôle d'un compte après changement frauduleux de carte SIM</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Très élevé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Boucles de transfert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Cycles rapides A→B→C→A pour obscurcir l'origine des fonds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Élevé</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Comptes mules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Utilisation de comptes de tiers pour transiter des fonds illicites</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Moyen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Credential stuffing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Accès non autorisé via identifiants volés ou par force brute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Moyen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Fraude marchande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Transactions fictives entre marchands et complices</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Élevé</w:t>
            </w:r>
          </w:p>
        </w:tc>
      </w:tr>
    </w:tbl>
    <w:p>
      <w:pPr>
        <w:spacing w:after="0" w:before="0"/>
      </w:pPr>
      <w:r>
        <w:rPr>
          <w:sz w:val="44"/>
          <w:szCs w:val="44"/>
        </w:rPr>
        <w:t xml:space="preserve"/>
      </w:r>
    </w:p>
    <w:p>
      <w:pPr>
        <w:pStyle w:val="Heading2"/>
        <w:spacing w:after="120" w:before="240"/>
      </w:pPr>
      <w:r>
        <w:rPr>
          <w:rFonts w:ascii="Arial" w:cs="Arial" w:eastAsia="Arial" w:hAnsi="Arial"/>
          <w:b/>
          <w:bCs/>
          <w:color w:val="2E75B6"/>
          <w:sz w:val="26"/>
          <w:szCs w:val="26"/>
        </w:rPr>
        <w:t xml:space="preserve">2.3 Lacunes des systèmes actuels</w:t>
      </w:r>
    </w:p>
    <w:p>
      <w:pPr>
        <w:spacing w:after="80" w:before="80" w:line="276"/>
      </w:pPr>
      <w:r>
        <w:rPr>
          <w:rFonts w:ascii="Arial" w:cs="Arial" w:eastAsia="Arial" w:hAnsi="Arial"/>
          <w:sz w:val="22"/>
          <w:szCs w:val="22"/>
        </w:rPr>
        <w:t xml:space="preserve">Les banques mauritaniennes s'appuient aujourd'hui principalement sur des règles statiques (seuils fixes, listes noires) et des contrôles manuels. Ces approches présentent trois limitations majeures :</w:t>
      </w:r>
    </w:p>
    <w:p>
      <w:pPr>
        <w:pStyle w:val="ListParagraph"/>
        <w:numPr>
          <w:ilvl w:val="0"/>
          <w:numId w:val="2"/>
        </w:numPr>
        <w:spacing w:after="60" w:before="60"/>
      </w:pPr>
      <w:r>
        <w:rPr>
          <w:rFonts w:ascii="Arial" w:cs="Arial" w:eastAsia="Arial" w:hAnsi="Arial"/>
          <w:sz w:val="22"/>
          <w:szCs w:val="22"/>
        </w:rPr>
        <w:t xml:space="preserve">Les règles statiques ne capturent pas les comportements anormaux contextuels</w:t>
      </w:r>
    </w:p>
    <w:p>
      <w:pPr>
        <w:pStyle w:val="ListParagraph"/>
        <w:numPr>
          <w:ilvl w:val="0"/>
          <w:numId w:val="2"/>
        </w:numPr>
        <w:spacing w:after="60" w:before="60"/>
      </w:pPr>
      <w:r>
        <w:rPr>
          <w:rFonts w:ascii="Arial" w:cs="Arial" w:eastAsia="Arial" w:hAnsi="Arial"/>
          <w:sz w:val="22"/>
          <w:szCs w:val="22"/>
        </w:rPr>
        <w:t xml:space="preserve">La revue manuelle est chronophage et non scalable face à la croissance des volumes</w:t>
      </w:r>
    </w:p>
    <w:p>
      <w:pPr>
        <w:pStyle w:val="ListParagraph"/>
        <w:numPr>
          <w:ilvl w:val="0"/>
          <w:numId w:val="2"/>
        </w:numPr>
        <w:spacing w:after="60" w:before="60"/>
      </w:pPr>
      <w:r>
        <w:rPr>
          <w:rFonts w:ascii="Arial" w:cs="Arial" w:eastAsia="Arial" w:hAnsi="Arial"/>
          <w:sz w:val="22"/>
          <w:szCs w:val="22"/>
        </w:rPr>
        <w:t xml:space="preserve">Absence de vision réseau : les schémas de complicité entre comptes passent inaperçus</w:t>
      </w:r>
    </w:p>
    <w:p>
      <w:r>
        <w:br w:type="page"/>
      </w:r>
    </w:p>
    <w:p>
      <w:pPr>
        <w:pStyle w:val="Heading1"/>
        <w:pBdr>
          <w:bottom w:val="single" w:color="2E75B6" w:sz="6" w:space="6"/>
        </w:pBdr>
        <w:spacing w:after="160" w:before="320"/>
      </w:pPr>
      <w:r>
        <w:rPr>
          <w:rFonts w:ascii="Arial" w:cs="Arial" w:eastAsia="Arial" w:hAnsi="Arial"/>
          <w:b/>
          <w:bCs/>
          <w:color w:val="1A3A6B"/>
          <w:sz w:val="32"/>
          <w:szCs w:val="32"/>
        </w:rPr>
        <w:t xml:space="preserve">3. Description de la Solution</w:t>
      </w:r>
    </w:p>
    <w:p>
      <w:pPr>
        <w:pStyle w:val="Heading2"/>
        <w:spacing w:after="120" w:before="240"/>
      </w:pPr>
      <w:r>
        <w:rPr>
          <w:rFonts w:ascii="Arial" w:cs="Arial" w:eastAsia="Arial" w:hAnsi="Arial"/>
          <w:b/>
          <w:bCs/>
          <w:color w:val="2E75B6"/>
          <w:sz w:val="26"/>
          <w:szCs w:val="26"/>
        </w:rPr>
        <w:t xml:space="preserve">3.1 Architecture générale</w:t>
      </w:r>
    </w:p>
    <w:p>
      <w:pPr>
        <w:spacing w:after="80" w:before="80" w:line="276"/>
      </w:pPr>
      <w:r>
        <w:rPr>
          <w:rFonts w:ascii="Arial" w:cs="Arial" w:eastAsia="Arial" w:hAnsi="Arial"/>
          <w:sz w:val="22"/>
          <w:szCs w:val="22"/>
        </w:rPr>
        <w:t xml:space="preserve">La solution repose sur une architecture microservices en trois couches principales, déployables indépendamment ou conjointement selon les besoins de la banque :</w:t>
      </w:r>
    </w:p>
    <w:p>
      <w:pPr>
        <w:spacing w:after="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2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46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 8 (C#)</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Orchestration, règles métier, API REST sécurisée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Service ML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FastAPI (Python)</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Inférence en temps réel, pipeline de scoring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 TypeScript</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 compliance officer, alertes, rapports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Base de données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PostgreSQL + Redis</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Stockage transactions, cache scoring temps réel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Orchestration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 Kubernetes</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Déploiement on-premise ou cloud privé</w:t>
            </w:r>
          </w:p>
        </w:tc>
      </w:tr>
    </w:tbl>
    <w:p>
      <w:pPr>
        <w:spacing w:after="0" w:before="0"/>
      </w:pPr>
      <w:r>
        <w:rPr>
          <w:sz w:val="44"/>
          <w:szCs w:val="44"/>
        </w:rPr>
        <w:t xml:space="preserve"/>
      </w:r>
    </w:p>
    <w:p>
      <w:pPr>
        <w:pStyle w:val="Heading2"/>
        <w:spacing w:after="120" w:before="240"/>
      </w:pPr>
      <w:r>
        <w:rPr>
          <w:rFonts w:ascii="Arial" w:cs="Arial" w:eastAsia="Arial" w:hAnsi="Arial"/>
          <w:b/>
          <w:bCs/>
          <w:color w:val="2E75B6"/>
          <w:sz w:val="26"/>
          <w:szCs w:val="26"/>
        </w:rPr>
        <w:t xml:space="preserve">3.2 Pipeline de détection ML</w:t>
      </w:r>
    </w:p>
    <w:p>
      <w:pPr>
        <w:spacing w:after="80" w:before="80" w:line="276"/>
      </w:pPr>
      <w:r>
        <w:rPr>
          <w:rFonts w:ascii="Arial" w:cs="Arial" w:eastAsia="Arial" w:hAnsi="Arial"/>
          <w:sz w:val="22"/>
          <w:szCs w:val="22"/>
        </w:rPr>
        <w:t xml:space="preserve">Le coeur du système est un pipeline de machine learning multicouche qui analyse chaque transaction selon plusieurs dimensions complémentaires :</w:t>
      </w:r>
    </w:p>
    <w:p>
      <w:pPr>
        <w:spacing w:after="0" w:before="0"/>
      </w:pPr>
      <w:r>
        <w:rPr>
          <w:sz w:val="22"/>
          <w:szCs w:val="22"/>
        </w:rPr>
        <w:t xml:space="preserve"/>
      </w:r>
    </w:p>
    <w:p>
      <w:pPr>
        <w:spacing w:after="80" w:before="80" w:line="276"/>
      </w:pPr>
      <w:r>
        <w:rPr>
          <w:rFonts w:ascii="Arial" w:cs="Arial" w:eastAsia="Arial" w:hAnsi="Arial"/>
          <w:b/>
          <w:bCs/>
          <w:sz w:val="22"/>
          <w:szCs w:val="22"/>
        </w:rPr>
        <w:t xml:space="preserve">XGBoost + Isolation Forest — Scoring de risque transactionnel</w:t>
      </w:r>
    </w:p>
    <w:p>
      <w:pPr>
        <w:spacing w:after="80" w:before="80" w:line="276"/>
      </w:pPr>
      <w:r>
        <w:rPr>
          <w:rFonts w:ascii="Arial" w:cs="Arial" w:eastAsia="Arial" w:hAnsi="Arial"/>
          <w:sz w:val="22"/>
          <w:szCs w:val="22"/>
        </w:rPr>
        <w:t xml:space="preserve">Premier filtre rapide basé sur les caractéristiques de la transaction individuelle : montant, heure, fréquence, géolocalisation, historique du compte. Produit un score de risque entre 0 et 1 en moins de 50 ms.</w:t>
      </w:r>
    </w:p>
    <w:p>
      <w:pPr>
        <w:spacing w:after="0" w:before="0"/>
      </w:pPr>
      <w:r>
        <w:rPr>
          <w:sz w:val="22"/>
          <w:szCs w:val="22"/>
        </w:rPr>
        <w:t xml:space="preserve"/>
      </w:r>
    </w:p>
    <w:p>
      <w:pPr>
        <w:spacing w:after="80" w:before="80" w:line="276"/>
      </w:pPr>
      <w:r>
        <w:rPr>
          <w:rFonts w:ascii="Arial" w:cs="Arial" w:eastAsia="Arial" w:hAnsi="Arial"/>
          <w:b/>
          <w:bCs/>
          <w:sz w:val="22"/>
          <w:szCs w:val="22"/>
        </w:rPr>
        <w:t xml:space="preserve">Temporal Fusion Transformer (TFT) — Analyse comportementale temporelle</w:t>
      </w:r>
    </w:p>
    <w:p>
      <w:pPr>
        <w:spacing w:after="80" w:before="80" w:line="276"/>
      </w:pPr>
      <w:r>
        <w:rPr>
          <w:rFonts w:ascii="Arial" w:cs="Arial" w:eastAsia="Arial" w:hAnsi="Arial"/>
          <w:sz w:val="22"/>
          <w:szCs w:val="22"/>
        </w:rPr>
        <w:t xml:space="preserve">Modèle d'apprentissage profond qui analyse l'évolution du comportement d'un compte sur le temps. Détecte les changements brusques de patterns (ex. : dormance suivie d'activité intense) caractéristiques du SIM swap ou de la prise de contrôle de compte.</w:t>
      </w:r>
    </w:p>
    <w:p>
      <w:pPr>
        <w:spacing w:after="0" w:before="0"/>
      </w:pPr>
      <w:r>
        <w:rPr>
          <w:sz w:val="22"/>
          <w:szCs w:val="22"/>
        </w:rPr>
        <w:t xml:space="preserve"/>
      </w:r>
    </w:p>
    <w:p>
      <w:pPr>
        <w:spacing w:after="80" w:before="80" w:line="276"/>
      </w:pPr>
      <w:r>
        <w:rPr>
          <w:rFonts w:ascii="Arial" w:cs="Arial" w:eastAsia="Arial" w:hAnsi="Arial"/>
          <w:b/>
          <w:bCs/>
          <w:sz w:val="22"/>
          <w:szCs w:val="22"/>
        </w:rPr>
        <w:t xml:space="preserve">Graph Neural Network (GNN) — Analyse du réseau de transactions</w:t>
      </w:r>
    </w:p>
    <w:p>
      <w:pPr>
        <w:spacing w:after="80" w:before="80" w:line="276"/>
      </w:pPr>
      <w:r>
        <w:rPr>
          <w:rFonts w:ascii="Arial" w:cs="Arial" w:eastAsia="Arial" w:hAnsi="Arial"/>
          <w:sz w:val="22"/>
          <w:szCs w:val="22"/>
        </w:rPr>
        <w:t xml:space="preserve">Représente l'ensemble des comptes et transactions sous forme de graphe. Identifie les structures de réseau anormales : boucles de transfert, comptes mules centraux, clusters de comportement coordonné typiques du blanchiment organisé.</w:t>
      </w:r>
    </w:p>
    <w:p>
      <w:pPr>
        <w:spacing w:after="0" w:before="0"/>
      </w:pPr>
      <w:r>
        <w:rPr>
          <w:sz w:val="22"/>
          <w:szCs w:val="22"/>
        </w:rPr>
        <w:t xml:space="preserve"/>
      </w:r>
    </w:p>
    <w:p>
      <w:pPr>
        <w:spacing w:after="80" w:before="80" w:line="276"/>
      </w:pPr>
      <w:r>
        <w:rPr>
          <w:rFonts w:ascii="Arial" w:cs="Arial" w:eastAsia="Arial" w:hAnsi="Arial"/>
          <w:b/>
          <w:bCs/>
          <w:sz w:val="22"/>
          <w:szCs w:val="22"/>
        </w:rPr>
        <w:t xml:space="preserve">SHAP — Explicabilité des décisions</w:t>
      </w:r>
    </w:p>
    <w:p>
      <w:pPr>
        <w:spacing w:after="80" w:before="80" w:line="276"/>
      </w:pPr>
      <w:r>
        <w:rPr>
          <w:rFonts w:ascii="Arial" w:cs="Arial" w:eastAsia="Arial" w:hAnsi="Arial"/>
          <w:sz w:val="22"/>
          <w:szCs w:val="22"/>
        </w:rPr>
        <w:t xml:space="preserve">Pour chaque alerte générée, SHAP produit une décomposition des facteurs ayant contribué au score. Le compliance officer peut lire en clair : 'Cette transaction a été signalée principalement en raison de 3 transferts identiques en 8 minutes vers un compte sans historique commun.'</w:t>
      </w:r>
    </w:p>
    <w:p>
      <w:pPr>
        <w:spacing w:after="0" w:before="0"/>
      </w:pPr>
      <w:r>
        <w:rPr>
          <w:sz w:val="44"/>
          <w:szCs w:val="44"/>
        </w:rPr>
        <w:t xml:space="preserve"/>
      </w:r>
    </w:p>
    <w:p>
      <w:pPr>
        <w:pStyle w:val="Heading2"/>
        <w:spacing w:after="120" w:before="240"/>
      </w:pPr>
      <w:r>
        <w:rPr>
          <w:rFonts w:ascii="Arial" w:cs="Arial" w:eastAsia="Arial" w:hAnsi="Arial"/>
          <w:b/>
          <w:bCs/>
          <w:color w:val="2E75B6"/>
          <w:sz w:val="26"/>
          <w:szCs w:val="26"/>
        </w:rPr>
        <w:t xml:space="preserve">3.3 Apprentissage Fédéré (Federated Learning)</w:t>
      </w:r>
    </w:p>
    <w:p>
      <w:pPr>
        <w:spacing w:after="80" w:before="80" w:line="276"/>
      </w:pPr>
      <w:r>
        <w:rPr>
          <w:rFonts w:ascii="Arial" w:cs="Arial" w:eastAsia="Arial" w:hAnsi="Arial"/>
          <w:sz w:val="22"/>
          <w:szCs w:val="22"/>
        </w:rPr>
        <w:t xml:space="preserve">Cette fonctionnalité répond à la contrainte réglementaire et de confiance la plus critique : comment améliorer les modèles collectivement sans centraliser les données clients ?</w:t>
      </w:r>
    </w:p>
    <w:p>
      <w:pPr>
        <w:spacing w:after="0" w:before="0"/>
      </w:pPr>
      <w:r>
        <w:rPr>
          <w:sz w:val="22"/>
          <w:szCs w:val="22"/>
        </w:rPr>
        <w:t xml:space="preserve"/>
      </w:r>
    </w:p>
    <w:p>
      <w:pPr>
        <w:spacing w:after="80" w:before="80" w:line="276"/>
      </w:pPr>
      <w:r>
        <w:rPr>
          <w:rFonts w:ascii="Arial" w:cs="Arial" w:eastAsia="Arial" w:hAnsi="Arial"/>
          <w:sz w:val="22"/>
          <w:szCs w:val="22"/>
        </w:rPr>
        <w:t xml:space="preserve">La solution utilise le framework Flower pour implémenter un apprentissage fédéré entre institutions participantes. Concrètement :</w:t>
      </w:r>
    </w:p>
    <w:p>
      <w:pPr>
        <w:pStyle w:val="ListParagraph"/>
        <w:numPr>
          <w:ilvl w:val="0"/>
          <w:numId w:val="2"/>
        </w:numPr>
        <w:spacing w:after="60" w:before="60"/>
      </w:pPr>
      <w:r>
        <w:rPr>
          <w:rFonts w:ascii="Arial" w:cs="Arial" w:eastAsia="Arial" w:hAnsi="Arial"/>
          <w:sz w:val="22"/>
          <w:szCs w:val="22"/>
        </w:rPr>
        <w:t xml:space="preserve">Chaque banque entraîne le modèle localement sur ses propres données</w:t>
      </w:r>
    </w:p>
    <w:p>
      <w:pPr>
        <w:pStyle w:val="ListParagraph"/>
        <w:numPr>
          <w:ilvl w:val="0"/>
          <w:numId w:val="2"/>
        </w:numPr>
        <w:spacing w:after="60" w:before="60"/>
      </w:pPr>
      <w:r>
        <w:rPr>
          <w:rFonts w:ascii="Arial" w:cs="Arial" w:eastAsia="Arial" w:hAnsi="Arial"/>
          <w:sz w:val="22"/>
          <w:szCs w:val="22"/>
        </w:rPr>
        <w:t xml:space="preserve">Seuls les poids du modèle (agrégats mathématiques) sont transmis au serveur central</w:t>
      </w:r>
    </w:p>
    <w:p>
      <w:pPr>
        <w:pStyle w:val="ListParagraph"/>
        <w:numPr>
          <w:ilvl w:val="0"/>
          <w:numId w:val="2"/>
        </w:numPr>
        <w:spacing w:after="60" w:before="60"/>
      </w:pPr>
      <w:r>
        <w:rPr>
          <w:rFonts w:ascii="Arial" w:cs="Arial" w:eastAsia="Arial" w:hAnsi="Arial"/>
          <w:sz w:val="22"/>
          <w:szCs w:val="22"/>
        </w:rPr>
        <w:t xml:space="preserve">Les données clients ne quittent jamais les serveurs de la banque</w:t>
      </w:r>
    </w:p>
    <w:p>
      <w:pPr>
        <w:pStyle w:val="ListParagraph"/>
        <w:numPr>
          <w:ilvl w:val="0"/>
          <w:numId w:val="2"/>
        </w:numPr>
        <w:spacing w:after="60" w:before="60"/>
      </w:pPr>
      <w:r>
        <w:rPr>
          <w:rFonts w:ascii="Arial" w:cs="Arial" w:eastAsia="Arial" w:hAnsi="Arial"/>
          <w:sz w:val="22"/>
          <w:szCs w:val="22"/>
        </w:rPr>
        <w:t xml:space="preserve">Toutes les communications sont chiffrées en TLS 1.3</w:t>
      </w:r>
    </w:p>
    <w:p>
      <w:pPr>
        <w:pStyle w:val="ListParagraph"/>
        <w:numPr>
          <w:ilvl w:val="0"/>
          <w:numId w:val="2"/>
        </w:numPr>
        <w:spacing w:after="60" w:before="60"/>
      </w:pPr>
      <w:r>
        <w:rPr>
          <w:rFonts w:ascii="Arial" w:cs="Arial" w:eastAsia="Arial" w:hAnsi="Arial"/>
          <w:sz w:val="22"/>
          <w:szCs w:val="22"/>
        </w:rPr>
        <w:t xml:space="preserve">Le modèle global s'améliore de l'expérience collective sans violation de la confidentialité</w:t>
      </w:r>
    </w:p>
    <w:p>
      <w:r>
        <w:br w:type="page"/>
      </w:r>
    </w:p>
    <w:p>
      <w:pPr>
        <w:pStyle w:val="Heading1"/>
        <w:pBdr>
          <w:bottom w:val="single" w:color="2E75B6" w:sz="6" w:space="6"/>
        </w:pBdr>
        <w:spacing w:after="160" w:before="320"/>
      </w:pPr>
      <w:r>
        <w:rPr>
          <w:rFonts w:ascii="Arial" w:cs="Arial" w:eastAsia="Arial" w:hAnsi="Arial"/>
          <w:b/>
          <w:bCs/>
          <w:color w:val="1A3A6B"/>
          <w:sz w:val="32"/>
          <w:szCs w:val="32"/>
        </w:rPr>
        <w:t xml:space="preserve">4. Bénéfices pour les Banques Mauritaniennes</w:t>
      </w:r>
    </w:p>
    <w:p>
      <w:pPr>
        <w:pStyle w:val="Heading2"/>
        <w:spacing w:after="120" w:before="240"/>
      </w:pPr>
      <w:r>
        <w:rPr>
          <w:rFonts w:ascii="Arial" w:cs="Arial" w:eastAsia="Arial" w:hAnsi="Arial"/>
          <w:b/>
          <w:bCs/>
          <w:color w:val="2E75B6"/>
          <w:sz w:val="26"/>
          <w:szCs w:val="26"/>
        </w:rPr>
        <w:t xml:space="preserve">4.1 Bénéfices opérationnels</w:t>
      </w:r>
    </w:p>
    <w:p>
      <w:pPr>
        <w:spacing w:after="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Indicateur</w:t>
            </w:r>
          </w:p>
        </w:tc>
        <w:tc>
          <w:tcPr>
            <w:tcW w:type="dxa" w:w="3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Sans la solution</w:t>
            </w:r>
          </w:p>
        </w:tc>
        <w:tc>
          <w:tcPr>
            <w:tcW w:type="dxa" w:w="30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Avec la solution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Temps de revue d'une alerte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à 45 minutes (manuel)</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à 5 minutes (assisté)</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Taux de faux positifs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 à 30 %</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2 %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Couverture des typologies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Règles statiques uniquement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typologies ML + règles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Génération rapport STR/SAR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à 2 heures (manuel)</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Automatique, immédiat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Latence de détection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 quotidien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Temps réel (&lt; 200 ms)</w:t>
            </w:r>
          </w:p>
        </w:tc>
      </w:tr>
    </w:tbl>
    <w:p>
      <w:pPr>
        <w:spacing w:after="0" w:before="0"/>
      </w:pPr>
      <w:r>
        <w:rPr>
          <w:sz w:val="44"/>
          <w:szCs w:val="44"/>
        </w:rPr>
        <w:t xml:space="preserve"/>
      </w:r>
    </w:p>
    <w:p>
      <w:pPr>
        <w:pStyle w:val="Heading2"/>
        <w:spacing w:after="120" w:before="240"/>
      </w:pPr>
      <w:r>
        <w:rPr>
          <w:rFonts w:ascii="Arial" w:cs="Arial" w:eastAsia="Arial" w:hAnsi="Arial"/>
          <w:b/>
          <w:bCs/>
          <w:color w:val="2E75B6"/>
          <w:sz w:val="26"/>
          <w:szCs w:val="26"/>
        </w:rPr>
        <w:t xml:space="preserve">4.2 Conformité réglementaire BCM</w:t>
      </w:r>
    </w:p>
    <w:p>
      <w:pPr>
        <w:spacing w:after="80" w:before="80" w:line="276"/>
      </w:pPr>
      <w:r>
        <w:rPr>
          <w:rFonts w:ascii="Arial" w:cs="Arial" w:eastAsia="Arial" w:hAnsi="Arial"/>
          <w:sz w:val="22"/>
          <w:szCs w:val="22"/>
        </w:rPr>
        <w:t xml:space="preserve">Le système est conçu en alignement avec les exigences de la Banque Centrale de Mauritanie et les standards FATF/GAFI applicables :</w:t>
      </w:r>
    </w:p>
    <w:p>
      <w:pPr>
        <w:pStyle w:val="ListParagraph"/>
        <w:numPr>
          <w:ilvl w:val="0"/>
          <w:numId w:val="2"/>
        </w:numPr>
        <w:spacing w:after="60" w:before="60"/>
      </w:pPr>
      <w:r>
        <w:rPr>
          <w:rFonts w:ascii="Arial" w:cs="Arial" w:eastAsia="Arial" w:hAnsi="Arial"/>
          <w:sz w:val="22"/>
          <w:szCs w:val="22"/>
        </w:rPr>
        <w:t xml:space="preserve">Piste d'audit complète et immuable de chaque décision de scoring</w:t>
      </w:r>
    </w:p>
    <w:p>
      <w:pPr>
        <w:pStyle w:val="ListParagraph"/>
        <w:numPr>
          <w:ilvl w:val="0"/>
          <w:numId w:val="2"/>
        </w:numPr>
        <w:spacing w:after="60" w:before="60"/>
      </w:pPr>
      <w:r>
        <w:rPr>
          <w:rFonts w:ascii="Arial" w:cs="Arial" w:eastAsia="Arial" w:hAnsi="Arial"/>
          <w:sz w:val="22"/>
          <w:szCs w:val="22"/>
        </w:rPr>
        <w:t xml:space="preserve">Génération automatique des Déclarations de Soupçon (DS) dans le format requis par la BCM</w:t>
      </w:r>
    </w:p>
    <w:p>
      <w:pPr>
        <w:pStyle w:val="ListParagraph"/>
        <w:numPr>
          <w:ilvl w:val="0"/>
          <w:numId w:val="2"/>
        </w:numPr>
        <w:spacing w:after="60" w:before="60"/>
      </w:pPr>
      <w:r>
        <w:rPr>
          <w:rFonts w:ascii="Arial" w:cs="Arial" w:eastAsia="Arial" w:hAnsi="Arial"/>
          <w:sz w:val="22"/>
          <w:szCs w:val="22"/>
        </w:rPr>
        <w:t xml:space="preserve">Conservation des données de transaction pendant la durée légale requise</w:t>
      </w:r>
    </w:p>
    <w:p>
      <w:pPr>
        <w:pStyle w:val="ListParagraph"/>
        <w:numPr>
          <w:ilvl w:val="0"/>
          <w:numId w:val="2"/>
        </w:numPr>
        <w:spacing w:after="60" w:before="60"/>
      </w:pPr>
      <w:r>
        <w:rPr>
          <w:rFonts w:ascii="Arial" w:cs="Arial" w:eastAsia="Arial" w:hAnsi="Arial"/>
          <w:sz w:val="22"/>
          <w:szCs w:val="22"/>
        </w:rPr>
        <w:t xml:space="preserve">Contrôles KYC intégrés avec vérification des listes de sanctions internationales</w:t>
      </w:r>
    </w:p>
    <w:p>
      <w:pPr>
        <w:pStyle w:val="ListParagraph"/>
        <w:numPr>
          <w:ilvl w:val="0"/>
          <w:numId w:val="2"/>
        </w:numPr>
        <w:spacing w:after="60" w:before="60"/>
      </w:pPr>
      <w:r>
        <w:rPr>
          <w:rFonts w:ascii="Arial" w:cs="Arial" w:eastAsia="Arial" w:hAnsi="Arial"/>
          <w:sz w:val="22"/>
          <w:szCs w:val="22"/>
        </w:rPr>
        <w:t xml:space="preserve">Reporting automatisé des statistiques AML pour les superviseurs</w:t>
      </w:r>
    </w:p>
    <w:p>
      <w:pPr>
        <w:spacing w:after="0" w:before="0"/>
      </w:pPr>
      <w:r>
        <w:rPr>
          <w:sz w:val="44"/>
          <w:szCs w:val="44"/>
        </w:rPr>
        <w:t xml:space="preserve"/>
      </w:r>
    </w:p>
    <w:p>
      <w:pPr>
        <w:pStyle w:val="Heading2"/>
        <w:spacing w:after="120" w:before="240"/>
      </w:pPr>
      <w:r>
        <w:rPr>
          <w:rFonts w:ascii="Arial" w:cs="Arial" w:eastAsia="Arial" w:hAnsi="Arial"/>
          <w:b/>
          <w:bCs/>
          <w:color w:val="2E75B6"/>
          <w:sz w:val="26"/>
          <w:szCs w:val="26"/>
        </w:rPr>
        <w:t xml:space="preserve">4.3 Retour sur investissement</w:t>
      </w:r>
    </w:p>
    <w:p>
      <w:pPr>
        <w:spacing w:after="80" w:before="80" w:line="276"/>
      </w:pPr>
      <w:r>
        <w:rPr>
          <w:rFonts w:ascii="Arial" w:cs="Arial" w:eastAsia="Arial" w:hAnsi="Arial"/>
          <w:sz w:val="22"/>
          <w:szCs w:val="22"/>
        </w:rPr>
        <w:t xml:space="preserve">Le coût total de déploiement et d'exploitation de la solution sur 12 mois reste inférieur à 500 USD grâce à l'utilisation exclusive d'outils open source (XGBoost, PyTorch, FastAPI, Flower, PostgreSQL). La réduction des pertes liées à la fraude non détectée et le gain de productivité des équipes compliance représentent un retour sur investissement significatif dès les premiers mois.</w:t>
      </w:r>
    </w:p>
    <w:p>
      <w:pPr>
        <w:spacing w:after="0" w:before="0"/>
      </w:pPr>
      <w:r>
        <w:rPr>
          <w:sz w:val="44"/>
          <w:szCs w:val="44"/>
        </w:rPr>
        <w:t xml:space="preserve"/>
      </w:r>
    </w:p>
    <w:p>
      <w:pPr>
        <w:pStyle w:val="Heading1"/>
        <w:pBdr>
          <w:bottom w:val="single" w:color="2E75B6" w:sz="6" w:space="6"/>
        </w:pBdr>
        <w:spacing w:after="160" w:before="320"/>
      </w:pPr>
      <w:r>
        <w:rPr>
          <w:rFonts w:ascii="Arial" w:cs="Arial" w:eastAsia="Arial" w:hAnsi="Arial"/>
          <w:b/>
          <w:bCs/>
          <w:color w:val="1A3A6B"/>
          <w:sz w:val="32"/>
          <w:szCs w:val="32"/>
        </w:rPr>
        <w:t xml:space="preserve">5. Plan de Déploiement</w:t>
      </w:r>
    </w:p>
    <w:p>
      <w:pPr>
        <w:pStyle w:val="Heading2"/>
        <w:spacing w:after="120" w:before="240"/>
      </w:pPr>
      <w:r>
        <w:rPr>
          <w:rFonts w:ascii="Arial" w:cs="Arial" w:eastAsia="Arial" w:hAnsi="Arial"/>
          <w:b/>
          <w:bCs/>
          <w:color w:val="2E75B6"/>
          <w:sz w:val="26"/>
          <w:szCs w:val="26"/>
        </w:rPr>
        <w:t xml:space="preserve">5.1 Phases du projet</w:t>
      </w:r>
    </w:p>
    <w:p>
      <w:pPr>
        <w:spacing w:after="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626"/>
      </w:tblGrid>
      <w:tr>
        <w:trPr>
          <w:tblHeader/>
        </w:trPr>
        <w:tc>
          <w:tcPr>
            <w:tcW w:type="dxa" w:w="1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Durée</w:t>
            </w:r>
          </w:p>
        </w:tc>
        <w:tc>
          <w:tcPr>
            <w:tcW w:type="dxa" w:w="56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Livrables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 MVP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semaines</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 ML opérationnel, API REST, dashboard de base, alertes temps réel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2 : Intégration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 semaines</w:t>
            </w:r>
          </w:p>
        </w:tc>
        <w:tc>
          <w:tcPr>
            <w:tcW w:type="dxa" w:w="5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Connexion aux systèmes bancaires existants, tests de charge, formation équipes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 : Production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Ongoing</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Monitoring, affinage des modèles, rapports BCM automatisés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4 : Agent IA (optionnel)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À partir de M6</w:t>
            </w:r>
          </w:p>
        </w:tc>
        <w:tc>
          <w:tcPr>
            <w:tcW w:type="dxa" w:w="5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LLM pour rapports narratifs SAR, investigation automatisée</w:t>
            </w:r>
          </w:p>
        </w:tc>
      </w:tr>
    </w:tbl>
    <w:p>
      <w:pPr>
        <w:spacing w:after="0" w:before="0"/>
      </w:pPr>
      <w:r>
        <w:rPr>
          <w:sz w:val="44"/>
          <w:szCs w:val="44"/>
        </w:rPr>
        <w:t xml:space="preserve"/>
      </w:r>
    </w:p>
    <w:p>
      <w:pPr>
        <w:pStyle w:val="Heading2"/>
        <w:spacing w:after="120" w:before="240"/>
      </w:pPr>
      <w:r>
        <w:rPr>
          <w:rFonts w:ascii="Arial" w:cs="Arial" w:eastAsia="Arial" w:hAnsi="Arial"/>
          <w:b/>
          <w:bCs/>
          <w:color w:val="2E75B6"/>
          <w:sz w:val="26"/>
          <w:szCs w:val="26"/>
        </w:rPr>
        <w:t xml:space="preserve">5.2 Prérequis techniques</w:t>
      </w:r>
    </w:p>
    <w:p>
      <w:pPr>
        <w:spacing w:after="80" w:before="80" w:line="276"/>
      </w:pPr>
      <w:r>
        <w:rPr>
          <w:rFonts w:ascii="Arial" w:cs="Arial" w:eastAsia="Arial" w:hAnsi="Arial"/>
          <w:sz w:val="22"/>
          <w:szCs w:val="22"/>
        </w:rPr>
        <w:t xml:space="preserve">La solution est conçue pour s'intégrer avec un minimum de friction sur l'infrastructure existante :</w:t>
      </w:r>
    </w:p>
    <w:p>
      <w:pPr>
        <w:pStyle w:val="ListParagraph"/>
        <w:numPr>
          <w:ilvl w:val="0"/>
          <w:numId w:val="2"/>
        </w:numPr>
        <w:spacing w:after="60" w:before="60"/>
      </w:pPr>
      <w:r>
        <w:rPr>
          <w:rFonts w:ascii="Arial" w:cs="Arial" w:eastAsia="Arial" w:hAnsi="Arial"/>
          <w:sz w:val="22"/>
          <w:szCs w:val="22"/>
        </w:rPr>
        <w:t xml:space="preserve">Serveur Linux (Ubuntu 20.04+) avec 8 Go RAM minimum, 4 vCPU</w:t>
      </w:r>
    </w:p>
    <w:p>
      <w:pPr>
        <w:pStyle w:val="ListParagraph"/>
        <w:numPr>
          <w:ilvl w:val="0"/>
          <w:numId w:val="2"/>
        </w:numPr>
        <w:spacing w:after="60" w:before="60"/>
      </w:pPr>
      <w:r>
        <w:rPr>
          <w:rFonts w:ascii="Arial" w:cs="Arial" w:eastAsia="Arial" w:hAnsi="Arial"/>
          <w:sz w:val="22"/>
          <w:szCs w:val="22"/>
        </w:rPr>
        <w:t xml:space="preserve">Docker et Kubernetes (ou déploiement standalone Docker Compose)</w:t>
      </w:r>
    </w:p>
    <w:p>
      <w:pPr>
        <w:pStyle w:val="ListParagraph"/>
        <w:numPr>
          <w:ilvl w:val="0"/>
          <w:numId w:val="2"/>
        </w:numPr>
        <w:spacing w:after="60" w:before="60"/>
      </w:pPr>
      <w:r>
        <w:rPr>
          <w:rFonts w:ascii="Arial" w:cs="Arial" w:eastAsia="Arial" w:hAnsi="Arial"/>
          <w:sz w:val="22"/>
          <w:szCs w:val="22"/>
        </w:rPr>
        <w:t xml:space="preserve">Accès en lecture aux logs de transactions en temps réel (via API ou Kafka)</w:t>
      </w:r>
    </w:p>
    <w:p>
      <w:pPr>
        <w:pStyle w:val="ListParagraph"/>
        <w:numPr>
          <w:ilvl w:val="0"/>
          <w:numId w:val="2"/>
        </w:numPr>
        <w:spacing w:after="60" w:before="60"/>
      </w:pPr>
      <w:r>
        <w:rPr>
          <w:rFonts w:ascii="Arial" w:cs="Arial" w:eastAsia="Arial" w:hAnsi="Arial"/>
          <w:sz w:val="22"/>
          <w:szCs w:val="22"/>
        </w:rPr>
        <w:t xml:space="preserve">Connexion réseau isolée pour les communications fédérées (port TLS 1.3)</w:t>
      </w:r>
    </w:p>
    <w:p>
      <w:pPr>
        <w:spacing w:after="0" w:before="0"/>
      </w:pPr>
      <w:r>
        <w:rPr>
          <w:sz w:val="44"/>
          <w:szCs w:val="44"/>
        </w:rPr>
        <w:t xml:space="preserve"/>
      </w:r>
    </w:p>
    <w:p>
      <w:pPr>
        <w:pStyle w:val="Heading1"/>
        <w:pBdr>
          <w:bottom w:val="single" w:color="2E75B6" w:sz="6" w:space="6"/>
        </w:pBdr>
        <w:spacing w:after="160" w:before="320"/>
      </w:pPr>
      <w:r>
        <w:rPr>
          <w:rFonts w:ascii="Arial" w:cs="Arial" w:eastAsia="Arial" w:hAnsi="Arial"/>
          <w:b/>
          <w:bCs/>
          <w:color w:val="1A3A6B"/>
          <w:sz w:val="32"/>
          <w:szCs w:val="32"/>
        </w:rPr>
        <w:t xml:space="preserve">6. Conclusion</w:t>
      </w:r>
    </w:p>
    <w:p>
      <w:pPr>
        <w:spacing w:after="80" w:before="80" w:line="276"/>
      </w:pPr>
      <w:r>
        <w:rPr>
          <w:rFonts w:ascii="Arial" w:cs="Arial" w:eastAsia="Arial" w:hAnsi="Arial"/>
          <w:sz w:val="22"/>
          <w:szCs w:val="22"/>
        </w:rPr>
        <w:t xml:space="preserve">La Mauritanie est à un moment charnière de sa transformation financière numérique. Le volume croissant des transactions mobile money crée une opportunité unique, mais aussi une responsabilité : protéger les utilisateurs et le système financier contre des acteurs malveillants de plus en plus sophistiqués.</w:t>
      </w:r>
    </w:p>
    <w:p>
      <w:pPr>
        <w:spacing w:after="0" w:before="0"/>
      </w:pPr>
      <w:r>
        <w:rPr>
          <w:sz w:val="22"/>
          <w:szCs w:val="22"/>
        </w:rPr>
        <w:t xml:space="preserve"/>
      </w:r>
    </w:p>
    <w:p>
      <w:pPr>
        <w:spacing w:after="80" w:before="80" w:line="276"/>
      </w:pPr>
      <w:r>
        <w:rPr>
          <w:rFonts w:ascii="Arial" w:cs="Arial" w:eastAsia="Arial" w:hAnsi="Arial"/>
          <w:sz w:val="22"/>
          <w:szCs w:val="22"/>
        </w:rPr>
        <w:t xml:space="preserve">Notre solution apporte une réponse concrète, techniquement robuste et financièrement accessible, parfaitement adaptée au contexte mauritanien. Elle permet aux banques et opérateurs de mobile money de passer d'une posture réactive à une posture proactive, en détectant les fraudes avant qu'elles ne causent des pertes.</w:t>
      </w:r>
    </w:p>
    <w:p>
      <w:pPr>
        <w:spacing w:after="0" w:before="0"/>
      </w:pPr>
      <w:r>
        <w:rPr>
          <w:sz w:val="22"/>
          <w:szCs w:val="22"/>
        </w:rPr>
        <w:t xml:space="preserve"/>
      </w:r>
    </w:p>
    <w:p>
      <w:pPr>
        <w:spacing w:after="80" w:before="80" w:line="276"/>
      </w:pPr>
      <w:r>
        <w:rPr>
          <w:rFonts w:ascii="Arial" w:cs="Arial" w:eastAsia="Arial" w:hAnsi="Arial"/>
          <w:sz w:val="22"/>
          <w:szCs w:val="22"/>
        </w:rPr>
        <w:t xml:space="preserve">Nous sommes disponibles pour une démonstration technique ou une discussion approfondie sur les modalités d'intégration avec vos systèmes existants.</w:t>
      </w:r>
    </w:p>
    <w:p>
      <w:pPr>
        <w:spacing w:after="0" w:before="0"/>
      </w:pPr>
      <w:r>
        <w:rPr>
          <w:sz w:val="44"/>
          <w:szCs w:val="44"/>
        </w:rPr>
        <w:t xml:space="preserve"/>
      </w:r>
    </w:p>
    <w:p>
      <w:pPr>
        <w:pBdr>
          <w:top w:val="single" w:color="2E75B6" w:sz="4" w:space="8"/>
        </w:pBdr>
        <w:spacing w:after="80" w:before="320"/>
      </w:pPr>
      <w:r>
        <w:rPr>
          <w:rFonts w:ascii="Arial" w:cs="Arial" w:eastAsia="Arial" w:hAnsi="Arial"/>
          <w:b/>
          <w:bCs/>
          <w:color w:val="1A3A6B"/>
          <w:sz w:val="24"/>
          <w:szCs w:val="24"/>
        </w:rPr>
        <w:t xml:space="preserve">Contact</w:t>
      </w:r>
    </w:p>
    <w:p>
      <w:pPr>
        <w:spacing w:after="80" w:before="80" w:line="276"/>
      </w:pPr>
      <w:r>
        <w:rPr>
          <w:rFonts w:ascii="Arial" w:cs="Arial" w:eastAsia="Arial" w:hAnsi="Arial"/>
          <w:sz w:val="22"/>
          <w:szCs w:val="22"/>
        </w:rPr>
        <w:t xml:space="preserve">Pour toute information complémentaire ou pour planifier une démonstration, veuillez nous contacter directement.</w:t>
      </w:r>
    </w:p>
    <w:p>
      <w:pPr>
        <w:spacing w:after="0" w:before="0"/>
      </w:pPr>
      <w:r>
        <w:rPr>
          <w:sz w:val="22"/>
          <w:szCs w:val="22"/>
        </w:rPr>
        <w:t xml:space="preserve"/>
      </w:r>
    </w:p>
    <w:p>
      <w:pPr>
        <w:spacing w:after="80" w:before="80" w:line="276"/>
      </w:pPr>
      <w:r>
        <w:rPr>
          <w:rFonts w:ascii="Arial" w:cs="Arial" w:eastAsia="Arial" w:hAnsi="Arial"/>
          <w:i/>
          <w:iCs/>
          <w:color w:val="888888"/>
          <w:sz w:val="22"/>
          <w:szCs w:val="22"/>
        </w:rPr>
        <w:t xml:space="preserve">Ce document est confidentiel et destiné exclusivement aux institutions financières mauritaniennes autorisées.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after="0" w:before="120"/>
    </w:pPr>
    <w:r>
      <w:rPr>
        <w:rFonts w:ascii="Arial" w:cs="Arial" w:eastAsia="Arial" w:hAnsi="Arial"/>
        <w:color w:val="888888"/>
        <w:sz w:val="16"/>
        <w:szCs w:val="16"/>
      </w:rPr>
      <w:t xml:space="preserve">Mauritanie — Secteur Bancaire &amp; Mobile Money</w:t>
    </w:r>
    <w:r>
      <w:rPr>
        <w:rFonts w:ascii="Arial" w:cs="Arial" w:eastAsia="Arial" w:hAnsi="Arial"/>
        <w:color w:val="888888"/>
        <w:sz w:val="16"/>
        <w:szCs w:val="16"/>
      </w:rPr>
      <w:t xml:space="preserve">	Page </w:t>
    </w:r>
    <w:fldSimple w:instr="PAGE">
      <w:r>
        <w:rPr>
          <w:rFonts w:ascii="Arial" w:cs="Arial" w:eastAsia="Arial" w:hAnsi="Arial"/>
          <w:color w:val="888888"/>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before="0"/>
    </w:pPr>
    <w:r>
      <w:rPr>
        <w:rFonts w:ascii="Arial" w:cs="Arial" w:eastAsia="Arial" w:hAnsi="Arial"/>
        <w:b/>
        <w:bCs/>
        <w:color w:val="1A3A6B"/>
        <w:sz w:val="18"/>
        <w:szCs w:val="18"/>
      </w:rPr>
      <w:t xml:space="preserve">Système de Détection de Fraude &amp; AML</w:t>
    </w:r>
    <w:r>
      <w:rPr>
        <w:sz w:val="18"/>
        <w:szCs w:val="18"/>
      </w:rPr>
      <w:t xml:space="preserve">	</w:t>
    </w:r>
    <w:r>
      <w:rPr>
        <w:rFonts w:ascii="Arial" w:cs="Arial" w:eastAsia="Arial" w:hAnsi="Arial"/>
        <w:b/>
        <w:bCs/>
        <w:color w:val="CC0000"/>
        <w:sz w:val="18"/>
        <w:szCs w:val="18"/>
      </w:rPr>
      <w:t xml:space="preserve">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2026-06-11T16:26:07.271Z</dcterms:created>
  <dcterms:modified xsi:type="dcterms:W3CDTF">2026-06-11T16:26:07.272Z</dcterms:modified>
</cp:coreProperties>
</file>

<file path=docProps/custom.xml><?xml version="1.0" encoding="utf-8"?>
<Properties xmlns="http://schemas.openxmlformats.org/officeDocument/2006/custom-properties" xmlns:vt="http://schemas.openxmlformats.org/officeDocument/2006/docPropsVTypes"/>
</file>