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Cahier des Charges — Version 1</w:t>
      </w:r>
    </w:p>
    <w:p>
      <w:pPr>
        <w:spacing w:after="60"/>
        <w:jc w:val="center"/>
      </w:pPr>
      <w:r>
        <w:rPr>
          <w:b/>
          <w:bCs/>
          <w:color w:val="444444"/>
          <w:sz w:val="30"/>
          <w:szCs w:val="30"/>
        </w:rPr>
        <w:t xml:space="preserve">Gestion des Briques Réfractaires — Four Rotatif</w:t>
      </w:r>
    </w:p>
    <w:p>
      <w:pPr>
        <w:spacing w:after="300"/>
        <w:jc w:val="center"/>
      </w:pPr>
      <w:r>
        <w:rPr>
          <w:i/>
          <w:iCs/>
          <w:color w:val="666666"/>
          <w:sz w:val="22"/>
          <w:szCs w:val="22"/>
        </w:rPr>
        <w:t xml:space="preserve">Application mono-poste, mono-utilisateur, fonctionnement hors réseau</w:t>
      </w:r>
    </w:p>
    <w:p>
      <w:pPr>
        <w:pStyle w:val="Heading1"/>
      </w:pPr>
      <w:r>
        <w:t xml:space="preserve">1. Contexte et objectif du projet</w:t>
      </w:r>
    </w:p>
    <w:p>
      <w:pPr>
        <w:spacing w:after="120"/>
      </w:pPr>
      <w:r>
        <w:t xml:space="preserve">Application de gestion des briques réfractaires pour four rotatif de cimenterie, couvrant : configuration des zones du four, calcul du besoin théorique en briques, saisie de la consommation réelle, analyse des écarts, et gestion du stock magasin.</w:t>
      </w:r>
    </w:p>
    <w:p>
      <w:pPr>
        <w:spacing w:after="120"/>
      </w:pPr>
      <w:r>
        <w:t xml:space="preserve">Contrainte structurante de la V1 : l'application est utilisée par une seule personne, sur un seul poste fixe, sans aucune connexion réseau. Il n'y a pas de séparation multi-utilisateur, pas de synchronisation, pas d'accès distant. Toute la conception (architecture, interface, sécurité) découle de cette contrainte.</w:t>
      </w:r>
    </w:p>
    <w:p>
      <w:pPr>
        <w:spacing w:after="120"/>
      </w:pPr>
      <w:r>
        <w:t xml:space="preserve">Objectif V1 : outil fonctionnel couvrant le cycle complet théorique → réel → stock, sans reporting avancé ni module prédictif (prévu en V2).</w:t>
      </w:r>
    </w:p>
    <w:p>
      <w:pPr>
        <w:pStyle w:val="Heading1"/>
      </w:pPr>
      <w:r>
        <w:t xml:space="preserve">2. Utilisateur et mode d'exploitation</w:t>
      </w:r>
    </w:p>
    <w:p>
      <w:pPr>
        <w:spacing w:after="120"/>
      </w:pPr>
      <w:r>
        <w:t xml:space="preserve">Un seul utilisateur assure l'ensemble des tâches : configuration des zones et types de briques, lancement des campagnes, calcul du besoin théorique, saisie de la consommation réelle, gestion du stock. Il n'y a donc pas de séparation de rôles ni de permissions différenciées en V1.</w:t>
      </w:r>
    </w:p>
    <w:p>
      <w:pPr>
        <w:spacing w:after="120"/>
      </w:pPr>
      <w:r>
        <w:t xml:space="preserve">Aucune authentification (login / mot de passe) n'est prévue en V1 : l'accès physique au poste constitue la seule barrière. Ce choix pourra être révisé en V2 si l'usage évolue vers plusieurs utilisateurs.</w:t>
      </w:r>
    </w:p>
    <w:p>
      <w:pPr>
        <w:spacing w:after="150"/>
      </w:pPr>
      <w:r>
        <w:rPr>
          <w:i/>
          <w:iCs/>
          <w:color w:val="555555"/>
          <w:sz w:val="20"/>
          <w:szCs w:val="20"/>
        </w:rPr>
        <w:t xml:space="preserve">Conséquence : les champs "opérateur" / "saisi par" envisagés dans une version antérieure sont retirés du modèle de données V1, faute d'utilité sans compte utilisateur.</w:t>
      </w:r>
    </w:p>
    <w:p>
      <w:pPr>
        <w:spacing w:after="120"/>
      </w:pPr>
      <w:r>
        <w:t xml:space="preserve">Capture des données terrain : les relevés de consommation réelle et de stock sont pris sur papier sur le terrain, puis ressaisis dans l'application au poste fixe. L'interface n'a donc pas besoin d'être optimisée pour un usage tactile ou mobile ; elle est conçue comme une interface de bureau classique, optimisée pour une ressaisie rapide et fiable.</w:t>
      </w:r>
    </w:p>
    <w:p>
      <w:pPr>
        <w:pStyle w:val="Heading1"/>
      </w:pPr>
      <w:r>
        <w:t xml:space="preserve">3. Cas d'usage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680"/>
        <w:gridCol w:w="1880"/>
      </w:tblGrid>
      <w:tr>
        <w:trPr>
          <w:tblHeader/>
        </w:trPr>
        <w:tc>
          <w:tcPr>
            <w:tcW w:type="dxa" w:w="600"/>
            <w:shd w:fill="1F3864" w:val="clear"/>
            <w:tcMar>
              <w:top w:type="dxa" w:w="80"/>
              <w:left w:type="dxa" w:w="100"/>
              <w:bottom w:type="dxa" w:w="80"/>
              <w:right w:type="dxa" w:w="100"/>
            </w:tcMar>
          </w:tcPr>
          <w:p>
            <w:r>
              <w:rPr>
                <w:b/>
                <w:bCs/>
                <w:color w:val="FFFFFF"/>
              </w:rPr>
              <w:t xml:space="preserve">#</w:t>
            </w:r>
          </w:p>
        </w:tc>
        <w:tc>
          <w:tcPr>
            <w:tcW w:type="dxa" w:w="4200"/>
            <w:shd w:fill="1F3864" w:val="clear"/>
            <w:tcMar>
              <w:top w:type="dxa" w:w="80"/>
              <w:left w:type="dxa" w:w="100"/>
              <w:bottom w:type="dxa" w:w="80"/>
              <w:right w:type="dxa" w:w="100"/>
            </w:tcMar>
          </w:tcPr>
          <w:p>
            <w:r>
              <w:rPr>
                <w:b/>
                <w:bCs/>
                <w:color w:val="FFFFFF"/>
              </w:rPr>
              <w:t xml:space="preserve">Cas d'usage</w:t>
            </w:r>
          </w:p>
        </w:tc>
        <w:tc>
          <w:tcPr>
            <w:tcW w:type="dxa" w:w="2680"/>
            <w:shd w:fill="1F3864" w:val="clear"/>
            <w:tcMar>
              <w:top w:type="dxa" w:w="80"/>
              <w:left w:type="dxa" w:w="100"/>
              <w:bottom w:type="dxa" w:w="80"/>
              <w:right w:type="dxa" w:w="100"/>
            </w:tcMar>
          </w:tcPr>
          <w:p>
            <w:r>
              <w:rPr>
                <w:b/>
                <w:bCs/>
                <w:color w:val="FFFFFF"/>
              </w:rPr>
              <w:t xml:space="preserve">Déclencheur</w:t>
            </w:r>
          </w:p>
        </w:tc>
        <w:tc>
          <w:tcPr>
            <w:tcW w:type="dxa" w:w="1880"/>
            <w:shd w:fill="1F3864" w:val="clear"/>
            <w:tcMar>
              <w:top w:type="dxa" w:w="80"/>
              <w:left w:type="dxa" w:w="100"/>
              <w:bottom w:type="dxa" w:w="80"/>
              <w:right w:type="dxa" w:w="100"/>
            </w:tcMar>
          </w:tcPr>
          <w:p>
            <w:r>
              <w:rPr>
                <w:b/>
                <w:bCs/>
                <w:color w:val="FFFFFF"/>
              </w:rPr>
              <w:t xml:space="preserve">Écran</w:t>
            </w:r>
          </w:p>
        </w:tc>
      </w:tr>
      <w:tr>
        <w:tc>
          <w:tcPr>
            <w:tcW w:type="dxa" w:w="600"/>
            <w:tcMar>
              <w:top w:type="dxa" w:w="80"/>
              <w:left w:type="dxa" w:w="100"/>
              <w:bottom w:type="dxa" w:w="80"/>
              <w:right w:type="dxa" w:w="100"/>
            </w:tcMar>
          </w:tcPr>
          <w:p>
            <w:r>
              <w:rPr>
                <w:b w:val="false"/>
                <w:bCs w:val="false"/>
                <w:color w:val="000000"/>
              </w:rPr>
              <w:t xml:space="preserve">1</w:t>
            </w:r>
          </w:p>
        </w:tc>
        <w:tc>
          <w:tcPr>
            <w:tcW w:type="dxa" w:w="4200"/>
            <w:tcMar>
              <w:top w:type="dxa" w:w="80"/>
              <w:left w:type="dxa" w:w="100"/>
              <w:bottom w:type="dxa" w:w="80"/>
              <w:right w:type="dxa" w:w="100"/>
            </w:tcMar>
          </w:tcPr>
          <w:p>
            <w:r>
              <w:rPr>
                <w:b w:val="false"/>
                <w:bCs w:val="false"/>
                <w:color w:val="000000"/>
              </w:rPr>
              <w:t xml:space="preserve">Créer / modifier / supprimer une zone du four</w:t>
            </w:r>
          </w:p>
        </w:tc>
        <w:tc>
          <w:tcPr>
            <w:tcW w:type="dxa" w:w="2680"/>
            <w:tcMar>
              <w:top w:type="dxa" w:w="80"/>
              <w:left w:type="dxa" w:w="100"/>
              <w:bottom w:type="dxa" w:w="80"/>
              <w:right w:type="dxa" w:w="100"/>
            </w:tcMar>
          </w:tcPr>
          <w:p>
            <w:r>
              <w:rPr>
                <w:b w:val="false"/>
                <w:bCs w:val="false"/>
                <w:color w:val="000000"/>
              </w:rPr>
              <w:t xml:space="preserve">Nouvelle config ou correction géométrie</w:t>
            </w:r>
          </w:p>
        </w:tc>
        <w:tc>
          <w:tcPr>
            <w:tcW w:type="dxa" w:w="1880"/>
            <w:tcMar>
              <w:top w:type="dxa" w:w="80"/>
              <w:left w:type="dxa" w:w="100"/>
              <w:bottom w:type="dxa" w:w="80"/>
              <w:right w:type="dxa" w:w="100"/>
            </w:tcMar>
          </w:tcPr>
          <w:p>
            <w:r>
              <w:rPr>
                <w:b w:val="false"/>
                <w:bCs w:val="false"/>
                <w:color w:val="000000"/>
              </w:rPr>
              <w:t xml:space="preserve">Configuration four</w:t>
            </w:r>
          </w:p>
        </w:tc>
      </w:tr>
      <w:tr>
        <w:tc>
          <w:tcPr>
            <w:tcW w:type="dxa" w:w="600"/>
            <w:tcMar>
              <w:top w:type="dxa" w:w="80"/>
              <w:left w:type="dxa" w:w="100"/>
              <w:bottom w:type="dxa" w:w="80"/>
              <w:right w:type="dxa" w:w="100"/>
            </w:tcMar>
          </w:tcPr>
          <w:p>
            <w:r>
              <w:rPr>
                <w:b w:val="false"/>
                <w:bCs w:val="false"/>
                <w:color w:val="000000"/>
              </w:rPr>
              <w:t xml:space="preserve">2</w:t>
            </w:r>
          </w:p>
        </w:tc>
        <w:tc>
          <w:tcPr>
            <w:tcW w:type="dxa" w:w="4200"/>
            <w:tcMar>
              <w:top w:type="dxa" w:w="80"/>
              <w:left w:type="dxa" w:w="100"/>
              <w:bottom w:type="dxa" w:w="80"/>
              <w:right w:type="dxa" w:w="100"/>
            </w:tcMar>
          </w:tcPr>
          <w:p>
            <w:r>
              <w:rPr>
                <w:b w:val="false"/>
                <w:bCs w:val="false"/>
                <w:color w:val="000000"/>
              </w:rPr>
              <w:t xml:space="preserve">Créer un type de brique + sa formule de calcul (y compris taux de chute)</w:t>
            </w:r>
          </w:p>
        </w:tc>
        <w:tc>
          <w:tcPr>
            <w:tcW w:type="dxa" w:w="2680"/>
            <w:tcMar>
              <w:top w:type="dxa" w:w="80"/>
              <w:left w:type="dxa" w:w="100"/>
              <w:bottom w:type="dxa" w:w="80"/>
              <w:right w:type="dxa" w:w="100"/>
            </w:tcMar>
          </w:tcPr>
          <w:p>
            <w:r>
              <w:rPr>
                <w:b w:val="false"/>
                <w:bCs w:val="false"/>
                <w:color w:val="000000"/>
              </w:rPr>
              <w:t xml:space="preserve">Nouveau réfractaire utilisé</w:t>
            </w:r>
          </w:p>
        </w:tc>
        <w:tc>
          <w:tcPr>
            <w:tcW w:type="dxa" w:w="1880"/>
            <w:tcMar>
              <w:top w:type="dxa" w:w="80"/>
              <w:left w:type="dxa" w:w="100"/>
              <w:bottom w:type="dxa" w:w="80"/>
              <w:right w:type="dxa" w:w="100"/>
            </w:tcMar>
          </w:tcPr>
          <w:p>
            <w:r>
              <w:rPr>
                <w:b w:val="false"/>
                <w:bCs w:val="false"/>
                <w:color w:val="000000"/>
              </w:rPr>
              <w:t xml:space="preserve">Gestion types de briques</w:t>
            </w:r>
          </w:p>
        </w:tc>
      </w:tr>
      <w:tr>
        <w:tc>
          <w:tcPr>
            <w:tcW w:type="dxa" w:w="600"/>
            <w:tcMar>
              <w:top w:type="dxa" w:w="80"/>
              <w:left w:type="dxa" w:w="100"/>
              <w:bottom w:type="dxa" w:w="80"/>
              <w:right w:type="dxa" w:w="100"/>
            </w:tcMar>
          </w:tcPr>
          <w:p>
            <w:r>
              <w:rPr>
                <w:b w:val="false"/>
                <w:bCs w:val="false"/>
                <w:color w:val="000000"/>
              </w:rPr>
              <w:t xml:space="preserve">3</w:t>
            </w:r>
          </w:p>
        </w:tc>
        <w:tc>
          <w:tcPr>
            <w:tcW w:type="dxa" w:w="4200"/>
            <w:tcMar>
              <w:top w:type="dxa" w:w="80"/>
              <w:left w:type="dxa" w:w="100"/>
              <w:bottom w:type="dxa" w:w="80"/>
              <w:right w:type="dxa" w:w="100"/>
            </w:tcMar>
          </w:tcPr>
          <w:p>
            <w:r>
              <w:rPr>
                <w:b w:val="false"/>
                <w:bCs w:val="false"/>
                <w:color w:val="000000"/>
              </w:rPr>
              <w:t xml:space="preserve">Calculer le besoin théorique d'une campagne</w:t>
            </w:r>
          </w:p>
        </w:tc>
        <w:tc>
          <w:tcPr>
            <w:tcW w:type="dxa" w:w="2680"/>
            <w:tcMar>
              <w:top w:type="dxa" w:w="80"/>
              <w:left w:type="dxa" w:w="100"/>
              <w:bottom w:type="dxa" w:w="80"/>
              <w:right w:type="dxa" w:w="100"/>
            </w:tcMar>
          </w:tcPr>
          <w:p>
            <w:r>
              <w:rPr>
                <w:b w:val="false"/>
                <w:bCs w:val="false"/>
                <w:color w:val="000000"/>
              </w:rPr>
              <w:t xml:space="preserve">Avant une campagne de réfection</w:t>
            </w:r>
          </w:p>
        </w:tc>
        <w:tc>
          <w:tcPr>
            <w:tcW w:type="dxa" w:w="1880"/>
            <w:tcMar>
              <w:top w:type="dxa" w:w="80"/>
              <w:left w:type="dxa" w:w="100"/>
              <w:bottom w:type="dxa" w:w="80"/>
              <w:right w:type="dxa" w:w="100"/>
            </w:tcMar>
          </w:tcPr>
          <w:p>
            <w:r>
              <w:rPr>
                <w:b w:val="false"/>
                <w:bCs w:val="false"/>
                <w:color w:val="000000"/>
              </w:rPr>
              <w:t xml:space="preserve">Calcul besoin théorique</w:t>
            </w:r>
          </w:p>
        </w:tc>
      </w:tr>
      <w:tr>
        <w:tc>
          <w:tcPr>
            <w:tcW w:type="dxa" w:w="600"/>
            <w:tcMar>
              <w:top w:type="dxa" w:w="80"/>
              <w:left w:type="dxa" w:w="100"/>
              <w:bottom w:type="dxa" w:w="80"/>
              <w:right w:type="dxa" w:w="100"/>
            </w:tcMar>
          </w:tcPr>
          <w:p>
            <w:r>
              <w:rPr>
                <w:b w:val="false"/>
                <w:bCs w:val="false"/>
                <w:color w:val="000000"/>
              </w:rPr>
              <w:t xml:space="preserve">4</w:t>
            </w:r>
          </w:p>
        </w:tc>
        <w:tc>
          <w:tcPr>
            <w:tcW w:type="dxa" w:w="4200"/>
            <w:tcMar>
              <w:top w:type="dxa" w:w="80"/>
              <w:left w:type="dxa" w:w="100"/>
              <w:bottom w:type="dxa" w:w="80"/>
              <w:right w:type="dxa" w:w="100"/>
            </w:tcMar>
          </w:tcPr>
          <w:p>
            <w:r>
              <w:rPr>
                <w:b w:val="false"/>
                <w:bCs w:val="false"/>
                <w:color w:val="000000"/>
              </w:rPr>
              <w:t xml:space="preserve">Ressaisir la consommation réelle (depuis relevé papier)</w:t>
            </w:r>
          </w:p>
        </w:tc>
        <w:tc>
          <w:tcPr>
            <w:tcW w:type="dxa" w:w="2680"/>
            <w:tcMar>
              <w:top w:type="dxa" w:w="80"/>
              <w:left w:type="dxa" w:w="100"/>
              <w:bottom w:type="dxa" w:w="80"/>
              <w:right w:type="dxa" w:w="100"/>
            </w:tcMar>
          </w:tcPr>
          <w:p>
            <w:r>
              <w:rPr>
                <w:b w:val="false"/>
                <w:bCs w:val="false"/>
                <w:color w:val="000000"/>
              </w:rPr>
              <w:t xml:space="preserve">Après réfection, au poste</w:t>
            </w:r>
          </w:p>
        </w:tc>
        <w:tc>
          <w:tcPr>
            <w:tcW w:type="dxa" w:w="1880"/>
            <w:tcMar>
              <w:top w:type="dxa" w:w="80"/>
              <w:left w:type="dxa" w:w="100"/>
              <w:bottom w:type="dxa" w:w="80"/>
              <w:right w:type="dxa" w:w="100"/>
            </w:tcMar>
          </w:tcPr>
          <w:p>
            <w:r>
              <w:rPr>
                <w:b w:val="false"/>
                <w:bCs w:val="false"/>
                <w:color w:val="000000"/>
              </w:rPr>
              <w:t xml:space="preserve">Saisie consommation réelle</w:t>
            </w:r>
          </w:p>
        </w:tc>
      </w:tr>
      <w:tr>
        <w:tc>
          <w:tcPr>
            <w:tcW w:type="dxa" w:w="600"/>
            <w:tcMar>
              <w:top w:type="dxa" w:w="80"/>
              <w:left w:type="dxa" w:w="100"/>
              <w:bottom w:type="dxa" w:w="80"/>
              <w:right w:type="dxa" w:w="100"/>
            </w:tcMar>
          </w:tcPr>
          <w:p>
            <w:r>
              <w:rPr>
                <w:b w:val="false"/>
                <w:bCs w:val="false"/>
                <w:color w:val="000000"/>
              </w:rPr>
              <w:t xml:space="preserve">5</w:t>
            </w:r>
          </w:p>
        </w:tc>
        <w:tc>
          <w:tcPr>
            <w:tcW w:type="dxa" w:w="4200"/>
            <w:tcMar>
              <w:top w:type="dxa" w:w="80"/>
              <w:left w:type="dxa" w:w="100"/>
              <w:bottom w:type="dxa" w:w="80"/>
              <w:right w:type="dxa" w:w="100"/>
            </w:tcMar>
          </w:tcPr>
          <w:p>
            <w:r>
              <w:rPr>
                <w:b w:val="false"/>
                <w:bCs w:val="false"/>
                <w:color w:val="000000"/>
              </w:rPr>
              <w:t xml:space="preserve">Comparer théorique vs réel (écarts)</w:t>
            </w:r>
          </w:p>
        </w:tc>
        <w:tc>
          <w:tcPr>
            <w:tcW w:type="dxa" w:w="2680"/>
            <w:tcMar>
              <w:top w:type="dxa" w:w="80"/>
              <w:left w:type="dxa" w:w="100"/>
              <w:bottom w:type="dxa" w:w="80"/>
              <w:right w:type="dxa" w:w="100"/>
            </w:tcMar>
          </w:tcPr>
          <w:p>
            <w:r>
              <w:rPr>
                <w:b w:val="false"/>
                <w:bCs w:val="false"/>
                <w:color w:val="000000"/>
              </w:rPr>
              <w:t xml:space="preserve">Après saisie</w:t>
            </w:r>
          </w:p>
        </w:tc>
        <w:tc>
          <w:tcPr>
            <w:tcW w:type="dxa" w:w="1880"/>
            <w:tcMar>
              <w:top w:type="dxa" w:w="80"/>
              <w:left w:type="dxa" w:w="100"/>
              <w:bottom w:type="dxa" w:w="80"/>
              <w:right w:type="dxa" w:w="100"/>
            </w:tcMar>
          </w:tcPr>
          <w:p>
            <w:r>
              <w:rPr>
                <w:b w:val="false"/>
                <w:bCs w:val="false"/>
                <w:color w:val="000000"/>
              </w:rPr>
              <w:t xml:space="preserve">Écarts théorique / réel</w:t>
            </w:r>
          </w:p>
        </w:tc>
      </w:tr>
      <w:tr>
        <w:tc>
          <w:tcPr>
            <w:tcW w:type="dxa" w:w="600"/>
            <w:tcMar>
              <w:top w:type="dxa" w:w="80"/>
              <w:left w:type="dxa" w:w="100"/>
              <w:bottom w:type="dxa" w:w="80"/>
              <w:right w:type="dxa" w:w="100"/>
            </w:tcMar>
          </w:tcPr>
          <w:p>
            <w:r>
              <w:rPr>
                <w:b w:val="false"/>
                <w:bCs w:val="false"/>
                <w:color w:val="000000"/>
              </w:rPr>
              <w:t xml:space="preserve">6</w:t>
            </w:r>
          </w:p>
        </w:tc>
        <w:tc>
          <w:tcPr>
            <w:tcW w:type="dxa" w:w="4200"/>
            <w:tcMar>
              <w:top w:type="dxa" w:w="80"/>
              <w:left w:type="dxa" w:w="100"/>
              <w:bottom w:type="dxa" w:w="80"/>
              <w:right w:type="dxa" w:w="100"/>
            </w:tcMar>
          </w:tcPr>
          <w:p>
            <w:r>
              <w:rPr>
                <w:b w:val="false"/>
                <w:bCs w:val="false"/>
                <w:color w:val="000000"/>
              </w:rPr>
              <w:t xml:space="preserve">Enregistrer une entrée de stock</w:t>
            </w:r>
          </w:p>
        </w:tc>
        <w:tc>
          <w:tcPr>
            <w:tcW w:type="dxa" w:w="2680"/>
            <w:tcMar>
              <w:top w:type="dxa" w:w="80"/>
              <w:left w:type="dxa" w:w="100"/>
              <w:bottom w:type="dxa" w:w="80"/>
              <w:right w:type="dxa" w:w="100"/>
            </w:tcMar>
          </w:tcPr>
          <w:p>
            <w:r>
              <w:rPr>
                <w:b w:val="false"/>
                <w:bCs w:val="false"/>
                <w:color w:val="000000"/>
              </w:rPr>
              <w:t xml:space="preserve">Réception fournisseur</w:t>
            </w:r>
          </w:p>
        </w:tc>
        <w:tc>
          <w:tcPr>
            <w:tcW w:type="dxa" w:w="1880"/>
            <w:tcMar>
              <w:top w:type="dxa" w:w="80"/>
              <w:left w:type="dxa" w:w="100"/>
              <w:bottom w:type="dxa" w:w="80"/>
              <w:right w:type="dxa" w:w="100"/>
            </w:tcMar>
          </w:tcPr>
          <w:p>
            <w:r>
              <w:rPr>
                <w:b w:val="false"/>
                <w:bCs w:val="false"/>
                <w:color w:val="000000"/>
              </w:rPr>
              <w:t xml:space="preserve">Stock magasin</w:t>
            </w:r>
          </w:p>
        </w:tc>
      </w:tr>
      <w:tr>
        <w:tc>
          <w:tcPr>
            <w:tcW w:type="dxa" w:w="600"/>
            <w:tcMar>
              <w:top w:type="dxa" w:w="80"/>
              <w:left w:type="dxa" w:w="100"/>
              <w:bottom w:type="dxa" w:w="80"/>
              <w:right w:type="dxa" w:w="100"/>
            </w:tcMar>
          </w:tcPr>
          <w:p>
            <w:r>
              <w:rPr>
                <w:b w:val="false"/>
                <w:bCs w:val="false"/>
                <w:color w:val="000000"/>
              </w:rPr>
              <w:t xml:space="preserve">7</w:t>
            </w:r>
          </w:p>
        </w:tc>
        <w:tc>
          <w:tcPr>
            <w:tcW w:type="dxa" w:w="4200"/>
            <w:tcMar>
              <w:top w:type="dxa" w:w="80"/>
              <w:left w:type="dxa" w:w="100"/>
              <w:bottom w:type="dxa" w:w="80"/>
              <w:right w:type="dxa" w:w="100"/>
            </w:tcMar>
          </w:tcPr>
          <w:p>
            <w:r>
              <w:rPr>
                <w:b w:val="false"/>
                <w:bCs w:val="false"/>
                <w:color w:val="000000"/>
              </w:rPr>
              <w:t xml:space="preserve">Consulter le stock</w:t>
            </w:r>
          </w:p>
        </w:tc>
        <w:tc>
          <w:tcPr>
            <w:tcW w:type="dxa" w:w="2680"/>
            <w:tcMar>
              <w:top w:type="dxa" w:w="80"/>
              <w:left w:type="dxa" w:w="100"/>
              <w:bottom w:type="dxa" w:w="80"/>
              <w:right w:type="dxa" w:w="100"/>
            </w:tcMar>
          </w:tcPr>
          <w:p>
            <w:r>
              <w:rPr>
                <w:b w:val="false"/>
                <w:bCs w:val="false"/>
                <w:color w:val="000000"/>
              </w:rPr>
              <w:t xml:space="preserve">À tout moment</w:t>
            </w:r>
          </w:p>
        </w:tc>
        <w:tc>
          <w:tcPr>
            <w:tcW w:type="dxa" w:w="1880"/>
            <w:tcMar>
              <w:top w:type="dxa" w:w="80"/>
              <w:left w:type="dxa" w:w="100"/>
              <w:bottom w:type="dxa" w:w="80"/>
              <w:right w:type="dxa" w:w="100"/>
            </w:tcMar>
          </w:tcPr>
          <w:p>
            <w:r>
              <w:rPr>
                <w:b w:val="false"/>
                <w:bCs w:val="false"/>
                <w:color w:val="000000"/>
              </w:rPr>
              <w:t xml:space="preserve">Stock magasin</w:t>
            </w:r>
          </w:p>
        </w:tc>
      </w:tr>
      <w:tr>
        <w:tc>
          <w:tcPr>
            <w:tcW w:type="dxa" w:w="600"/>
            <w:tcMar>
              <w:top w:type="dxa" w:w="80"/>
              <w:left w:type="dxa" w:w="100"/>
              <w:bottom w:type="dxa" w:w="80"/>
              <w:right w:type="dxa" w:w="100"/>
            </w:tcMar>
          </w:tcPr>
          <w:p>
            <w:r>
              <w:rPr>
                <w:b w:val="false"/>
                <w:bCs w:val="false"/>
                <w:color w:val="000000"/>
              </w:rPr>
              <w:t xml:space="preserve">8</w:t>
            </w:r>
          </w:p>
        </w:tc>
        <w:tc>
          <w:tcPr>
            <w:tcW w:type="dxa" w:w="4200"/>
            <w:tcMar>
              <w:top w:type="dxa" w:w="80"/>
              <w:left w:type="dxa" w:w="100"/>
              <w:bottom w:type="dxa" w:w="80"/>
              <w:right w:type="dxa" w:w="100"/>
            </w:tcMar>
          </w:tcPr>
          <w:p>
            <w:r>
              <w:rPr>
                <w:b w:val="false"/>
                <w:bCs w:val="false"/>
                <w:color w:val="000000"/>
              </w:rPr>
              <w:t xml:space="preserve">Consulter l'historique des campagnes</w:t>
            </w:r>
          </w:p>
        </w:tc>
        <w:tc>
          <w:tcPr>
            <w:tcW w:type="dxa" w:w="2680"/>
            <w:tcMar>
              <w:top w:type="dxa" w:w="80"/>
              <w:left w:type="dxa" w:w="100"/>
              <w:bottom w:type="dxa" w:w="80"/>
              <w:right w:type="dxa" w:w="100"/>
            </w:tcMar>
          </w:tcPr>
          <w:p>
            <w:r>
              <w:rPr>
                <w:b w:val="false"/>
                <w:bCs w:val="false"/>
                <w:color w:val="000000"/>
              </w:rPr>
              <w:t xml:space="preserve">Analyse</w:t>
            </w:r>
          </w:p>
        </w:tc>
        <w:tc>
          <w:tcPr>
            <w:tcW w:type="dxa" w:w="1880"/>
            <w:tcMar>
              <w:top w:type="dxa" w:w="80"/>
              <w:left w:type="dxa" w:w="100"/>
              <w:bottom w:type="dxa" w:w="80"/>
              <w:right w:type="dxa" w:w="100"/>
            </w:tcMar>
          </w:tcPr>
          <w:p>
            <w:r>
              <w:rPr>
                <w:b w:val="false"/>
                <w:bCs w:val="false"/>
                <w:color w:val="000000"/>
              </w:rPr>
              <w:t xml:space="preserve">Historique campagnes</w:t>
            </w:r>
          </w:p>
        </w:tc>
      </w:tr>
    </w:tbl>
    <w:p>
      <w:pPr>
        <w:spacing w:after="100"/>
      </w:pPr>
    </w:p>
    <w:p>
      <w:pPr>
        <w:pStyle w:val="Heading1"/>
      </w:pPr>
      <w:r>
        <w:t xml:space="preserve">4. Modèle de données (entités principales)</w:t>
      </w:r>
    </w:p>
    <w:p>
      <w:pPr>
        <w:pStyle w:val="Heading2"/>
      </w:pPr>
      <w:r>
        <w:t xml:space="preserve">Four</w:t>
      </w:r>
    </w:p>
    <w:p>
      <w:pPr>
        <w:pStyle w:val="ListParagraph"/>
        <w:numPr>
          <w:ilvl w:val="0"/>
          <w:numId w:val="2"/>
        </w:numPr>
        <w:spacing w:after="60"/>
      </w:pPr>
      <w:r>
        <w:t xml:space="preserve">id, nom, statut (en marche / arrêt / réfection)</w:t>
      </w:r>
    </w:p>
    <w:p>
      <w:pPr>
        <w:pStyle w:val="Heading2"/>
      </w:pPr>
      <w:r>
        <w:t xml:space="preserve">Zone</w:t>
      </w:r>
    </w:p>
    <w:p>
      <w:pPr>
        <w:pStyle w:val="ListParagraph"/>
        <w:numPr>
          <w:ilvl w:val="0"/>
          <w:numId w:val="2"/>
        </w:numPr>
        <w:spacing w:after="60"/>
      </w:pPr>
      <w:r>
        <w:t xml:space="preserve">id, four_id, nom, diamètre nominal, longueur, position dans le four, type de brique par défaut</w:t>
      </w:r>
    </w:p>
    <w:p>
      <w:pPr>
        <w:spacing w:after="150"/>
      </w:pPr>
      <w:r>
        <w:rPr>
          <w:i/>
          <w:iCs/>
          <w:color w:val="555555"/>
          <w:sz w:val="20"/>
          <w:szCs w:val="20"/>
        </w:rPr>
        <w:t xml:space="preserve">Le diamètre nominal ici sert de valeur par défaut ; la valeur réellement utilisée pour un calcul est capturée par campagne (voir BesoinTheorique) afin de refléter l'usure progressive du garnissage.</w:t>
      </w:r>
    </w:p>
    <w:p>
      <w:pPr>
        <w:pStyle w:val="Heading2"/>
      </w:pPr>
      <w:r>
        <w:t xml:space="preserve">TypeBrique</w:t>
      </w:r>
    </w:p>
    <w:p>
      <w:pPr>
        <w:pStyle w:val="ListParagraph"/>
        <w:numPr>
          <w:ilvl w:val="0"/>
          <w:numId w:val="2"/>
        </w:numPr>
        <w:spacing w:after="60"/>
      </w:pPr>
      <w:r>
        <w:t xml:space="preserve">id, nom, format (droite / cintrée / spéciale), dimensions (longueur, largeur, hauteur), poids unitaire, fournisseur par défaut</w:t>
      </w:r>
    </w:p>
    <w:p>
      <w:pPr>
        <w:pStyle w:val="ListParagraph"/>
        <w:numPr>
          <w:ilvl w:val="0"/>
          <w:numId w:val="2"/>
        </w:numPr>
        <w:spacing w:after="60"/>
      </w:pPr>
      <w:r>
        <w:t xml:space="preserve">formule_calcul : expression texte libre avec variables (voir section 6)</w:t>
      </w:r>
    </w:p>
    <w:p>
      <w:pPr>
        <w:pStyle w:val="ListParagraph"/>
        <w:numPr>
          <w:ilvl w:val="0"/>
          <w:numId w:val="2"/>
        </w:numPr>
        <w:spacing w:after="60"/>
      </w:pPr>
      <w:r>
        <w:t xml:space="preserve">taux_chute : coefficient de perte à la découpe (%), par type de brique / format — 0 par défaut pour les briques droites, non nul pour les briques cintrées</w:t>
      </w:r>
    </w:p>
    <w:p>
      <w:pPr>
        <w:pStyle w:val="Heading2"/>
      </w:pPr>
      <w:r>
        <w:t xml:space="preserve">Campagne</w:t>
      </w:r>
    </w:p>
    <w:p>
      <w:pPr>
        <w:pStyle w:val="ListParagraph"/>
        <w:numPr>
          <w:ilvl w:val="0"/>
          <w:numId w:val="2"/>
        </w:numPr>
        <w:spacing w:after="60"/>
      </w:pPr>
      <w:r>
        <w:t xml:space="preserve">id, four_id, date début, date fin, statut (en cours / clôturée), zones concernées</w:t>
      </w:r>
    </w:p>
    <w:p>
      <w:pPr>
        <w:pStyle w:val="Heading2"/>
      </w:pPr>
      <w:r>
        <w:t xml:space="preserve">BesoinTheorique</w:t>
      </w:r>
    </w:p>
    <w:p>
      <w:pPr>
        <w:pStyle w:val="ListParagraph"/>
        <w:numPr>
          <w:ilvl w:val="0"/>
          <w:numId w:val="2"/>
        </w:numPr>
        <w:spacing w:after="60"/>
      </w:pPr>
      <w:r>
        <w:t xml:space="preserve">id, campagne_id, zone_id, type_brique_id, quantité calculée (pièces)</w:t>
      </w:r>
    </w:p>
    <w:p>
      <w:pPr>
        <w:pStyle w:val="ListParagraph"/>
        <w:numPr>
          <w:ilvl w:val="0"/>
          <w:numId w:val="2"/>
        </w:numPr>
        <w:spacing w:after="60"/>
      </w:pPr>
      <w:r>
        <w:t xml:space="preserve">diamètre_utilisé, épaisseur_garnissage_utilisée : valeurs saisies au moment du calcul (pré-remplies depuis la Zone, modifiables) — c'est cette valeur, et non le diamètre nominal de la Zone, qui sert de référence pour le calcul et pour l'analyse des écarts dans le temps</w:t>
      </w:r>
    </w:p>
    <w:p>
      <w:pPr>
        <w:pStyle w:val="Heading2"/>
      </w:pPr>
      <w:r>
        <w:t xml:space="preserve">ConsommationReelle</w:t>
      </w:r>
    </w:p>
    <w:p>
      <w:pPr>
        <w:pStyle w:val="ListParagraph"/>
        <w:numPr>
          <w:ilvl w:val="0"/>
          <w:numId w:val="2"/>
        </w:numPr>
        <w:spacing w:after="60"/>
      </w:pPr>
      <w:r>
        <w:t xml:space="preserve">id, campagne_id, zone_id, type_brique_id, quantité posée (pièces), commentaire/anomalie, date de saisie</w:t>
      </w:r>
    </w:p>
    <w:p>
      <w:pPr>
        <w:pStyle w:val="Heading2"/>
      </w:pPr>
      <w:r>
        <w:t xml:space="preserve">Écart</w:t>
      </w:r>
    </w:p>
    <w:p>
      <w:pPr>
        <w:pStyle w:val="ListParagraph"/>
        <w:numPr>
          <w:ilvl w:val="0"/>
          <w:numId w:val="2"/>
        </w:numPr>
        <w:spacing w:after="60"/>
      </w:pPr>
      <w:r>
        <w:t xml:space="preserve">= ConsommationRéelle − BesoinThéorique, par zone / type. Calculé à la volée (vue / requête), non stocké.</w:t>
      </w:r>
    </w:p>
    <w:p>
      <w:pPr>
        <w:pStyle w:val="Heading2"/>
      </w:pPr>
      <w:r>
        <w:t xml:space="preserve">Stock</w:t>
      </w:r>
    </w:p>
    <w:p>
      <w:pPr>
        <w:pStyle w:val="ListParagraph"/>
        <w:numPr>
          <w:ilvl w:val="0"/>
          <w:numId w:val="2"/>
        </w:numPr>
        <w:spacing w:after="60"/>
      </w:pPr>
      <w:r>
        <w:t xml:space="preserve">id, type_brique_id, quantité actuelle (pièces), seuil mini</w:t>
      </w:r>
    </w:p>
    <w:p>
      <w:pPr>
        <w:pStyle w:val="Heading2"/>
      </w:pPr>
      <w:r>
        <w:t xml:space="preserve">MouvementStock</w:t>
      </w:r>
    </w:p>
    <w:p>
      <w:pPr>
        <w:pStyle w:val="ListParagraph"/>
        <w:numPr>
          <w:ilvl w:val="0"/>
          <w:numId w:val="2"/>
        </w:numPr>
        <w:spacing w:after="60"/>
      </w:pPr>
      <w:r>
        <w:t xml:space="preserve">id, type_brique_id, type (entrée / sortie), quantité, date, référence (campagne ou bon de réception), fournisseur/lot</w:t>
      </w:r>
    </w:p>
    <w:p>
      <w:pPr>
        <w:spacing w:after="100"/>
      </w:pPr>
    </w:p>
    <w:p>
      <w:pPr>
        <w:spacing w:after="120"/>
      </w:pPr>
      <w:r>
        <w:rPr>
          <w:b/>
          <w:bCs/>
        </w:rPr>
        <w:t xml:space="preserve">Relations clés :</w:t>
      </w:r>
    </w:p>
    <w:p>
      <w:pPr>
        <w:pStyle w:val="ListParagraph"/>
        <w:numPr>
          <w:ilvl w:val="0"/>
          <w:numId w:val="2"/>
        </w:numPr>
        <w:spacing w:after="60"/>
      </w:pPr>
      <w:r>
        <w:t xml:space="preserve">Une Zone → un ou plusieurs TypeBrique possibles</w:t>
      </w:r>
    </w:p>
    <w:p>
      <w:pPr>
        <w:pStyle w:val="ListParagraph"/>
        <w:numPr>
          <w:ilvl w:val="0"/>
          <w:numId w:val="2"/>
        </w:numPr>
        <w:spacing w:after="60"/>
      </w:pPr>
      <w:r>
        <w:t xml:space="preserve">Une Campagne → plusieurs Zones concernées</w:t>
      </w:r>
    </w:p>
    <w:p>
      <w:pPr>
        <w:pStyle w:val="ListParagraph"/>
        <w:numPr>
          <w:ilvl w:val="0"/>
          <w:numId w:val="2"/>
        </w:numPr>
        <w:spacing w:after="60"/>
      </w:pPr>
      <w:r>
        <w:t xml:space="preserve">Une ConsommationRéelle alimente automatiquement un MouvementStock (sortie)</w:t>
      </w:r>
    </w:p>
    <w:p>
      <w:pPr>
        <w:spacing w:after="120"/>
      </w:pPr>
      <w:r>
        <w:t xml:space="preserve">Unité de mesure : la pièce, uniformément dans tout le système.</w:t>
      </w:r>
    </w:p>
    <w:p>
      <w:pPr>
        <w:pStyle w:val="Heading1"/>
      </w:pPr>
      <w:r>
        <w:t xml:space="preserve">5. Logique de calcul</w:t>
      </w:r>
    </w:p>
    <w:p>
      <w:pPr>
        <w:pStyle w:val="ListParagraph"/>
        <w:numPr>
          <w:ilvl w:val="0"/>
          <w:numId w:val="2"/>
        </w:numPr>
        <w:spacing w:after="60"/>
      </w:pPr>
      <w:r>
        <w:t xml:space="preserve">Besoin théorique = formule associée au TypeBrique, appliquée aux paramètres de la campagne (diamètre_utilisé, épaisseur_garnissage_utilisée) et au taux_chute du type de brique</w:t>
      </w:r>
    </w:p>
    <w:p>
      <w:pPr>
        <w:pStyle w:val="ListParagraph"/>
        <w:numPr>
          <w:ilvl w:val="0"/>
          <w:numId w:val="2"/>
        </w:numPr>
        <w:spacing w:after="60"/>
      </w:pPr>
      <w:r>
        <w:t xml:space="preserve">Écart = Consommation réelle − Besoin théorique (par zone, par type de brique)</w:t>
      </w:r>
    </w:p>
    <w:p>
      <w:pPr>
        <w:pStyle w:val="ListParagraph"/>
        <w:numPr>
          <w:ilvl w:val="0"/>
          <w:numId w:val="2"/>
        </w:numPr>
        <w:spacing w:after="60"/>
      </w:pPr>
      <w:r>
        <w:t xml:space="preserve">Stock final = Stock initial + Σ Entrées − Σ Sorties (sorties = consommation réelle validée)</w:t>
      </w:r>
    </w:p>
    <w:p>
      <w:pPr>
        <w:pStyle w:val="ListParagraph"/>
        <w:numPr>
          <w:ilvl w:val="0"/>
          <w:numId w:val="2"/>
        </w:numPr>
        <w:spacing w:after="60"/>
      </w:pPr>
      <w:r>
        <w:t xml:space="preserve">Seuils d'alerte écart : vert (conforme), orange (léger dépassement), rouge (fort écart) — seuils exacts (%) à définir à l'usage</w:t>
      </w:r>
    </w:p>
    <w:p>
      <w:pPr>
        <w:pStyle w:val="Heading1"/>
      </w:pPr>
      <w:r>
        <w:t xml:space="preserve">6. Formule de calcul paramétrable par type de brique</w:t>
      </w:r>
    </w:p>
    <w:p>
      <w:pPr>
        <w:spacing w:after="120"/>
      </w:pPr>
      <w:r>
        <w:t xml:space="preserve">Décision retenue : formule en texte libre avec variables (ex. (PI * diametre * longueur) / (largeur * hauteur) * (1 + taux_chute)). Ce choix est acceptable ici car l'application est mono-utilisateur, sans exposition réseau : le risque n'est pas une question de sécurité (pas d'attaquant externe possible) mais de robustesse (une formule mal écrite ne doit pas planter l'application ni produire un résultat faux sans avertissement).</w:t>
      </w:r>
    </w:p>
    <w:p>
      <w:pPr>
        <w:pStyle w:val="ListParagraph"/>
        <w:numPr>
          <w:ilvl w:val="0"/>
          <w:numId w:val="2"/>
        </w:numPr>
        <w:spacing w:after="60"/>
      </w:pPr>
      <w:r>
        <w:t xml:space="preserve">Évaluation de la formule via un moteur d'expression restreint (ex. asteval ou évaluateur AST à liste blanche) — jamais via eval() natif Python, pour éviter tout plantage sur une syntaxe inattendue</w:t>
      </w:r>
    </w:p>
    <w:p>
      <w:pPr>
        <w:pStyle w:val="ListParagraph"/>
        <w:numPr>
          <w:ilvl w:val="0"/>
          <w:numId w:val="2"/>
        </w:numPr>
        <w:spacing w:after="60"/>
      </w:pPr>
      <w:r>
        <w:t xml:space="preserve">Le bouton "Tester la formule" (avec valeurs d'exemple) est obligatoire avant l'enregistrement d'un type de brique, pas optionnel</w:t>
      </w:r>
    </w:p>
    <w:p>
      <w:pPr>
        <w:pStyle w:val="ListParagraph"/>
        <w:numPr>
          <w:ilvl w:val="0"/>
          <w:numId w:val="2"/>
        </w:numPr>
        <w:spacing w:after="60"/>
      </w:pPr>
      <w:r>
        <w:t xml:space="preserve">Message d'erreur explicite si la formule est invalide ou si une variable est inconnue</w:t>
      </w:r>
    </w:p>
    <w:p>
      <w:pPr>
        <w:spacing w:after="120"/>
      </w:pPr>
      <w:r>
        <w:t xml:space="preserve">Interface "Nouveau type de brique" : champs standards (nom, format, dimensions, poids unitaire, taux_chute) + section formule (variables disponibles, zone de saisie, test obligatoire).</w:t>
      </w:r>
    </w:p>
    <w:p>
      <w:pPr>
        <w:pStyle w:val="Heading1"/>
      </w:pPr>
      <w:r>
        <w:t xml:space="preserve">7. Interface — Écrans (description fonctionnelle)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r>
              <w:rPr>
                <w:b/>
                <w:bCs/>
                <w:color w:val="FFFFFF"/>
              </w:rPr>
              <w:t xml:space="preserve">Écran</w:t>
            </w:r>
          </w:p>
        </w:tc>
        <w:tc>
          <w:tcPr>
            <w:tcW w:type="dxa" w:w="6960"/>
            <w:shd w:fill="1F3864" w:val="clear"/>
            <w:tcMar>
              <w:top w:type="dxa" w:w="80"/>
              <w:left w:type="dxa" w:w="100"/>
              <w:bottom w:type="dxa" w:w="80"/>
              <w:right w:type="dxa" w:w="100"/>
            </w:tcMar>
          </w:tcPr>
          <w:p>
            <w:r>
              <w:rPr>
                <w:b/>
                <w:bCs/>
                <w:color w:val="FFFFFF"/>
              </w:rPr>
              <w:t xml:space="preserve">Contenu principal</w:t>
            </w:r>
          </w:p>
        </w:tc>
      </w:tr>
      <w:tr>
        <w:tc>
          <w:tcPr>
            <w:tcW w:type="dxa" w:w="2400"/>
            <w:tcMar>
              <w:top w:type="dxa" w:w="80"/>
              <w:left w:type="dxa" w:w="100"/>
              <w:bottom w:type="dxa" w:w="80"/>
              <w:right w:type="dxa" w:w="100"/>
            </w:tcMar>
          </w:tcPr>
          <w:p>
            <w:r>
              <w:rPr>
                <w:b w:val="false"/>
                <w:bCs w:val="false"/>
                <w:color w:val="000000"/>
              </w:rPr>
              <w:t xml:space="preserve">Dashboard</w:t>
            </w:r>
          </w:p>
        </w:tc>
        <w:tc>
          <w:tcPr>
            <w:tcW w:type="dxa" w:w="6960"/>
            <w:tcMar>
              <w:top w:type="dxa" w:w="80"/>
              <w:left w:type="dxa" w:w="100"/>
              <w:bottom w:type="dxa" w:w="80"/>
              <w:right w:type="dxa" w:w="100"/>
            </w:tcMar>
          </w:tcPr>
          <w:p>
            <w:r>
              <w:rPr>
                <w:b w:val="false"/>
                <w:bCs w:val="false"/>
                <w:color w:val="000000"/>
              </w:rPr>
              <w:t xml:space="preserve">KPI stock, alertes, dernière campagne, écarts cumulés, bouton "Nouvelle campagne"</w:t>
            </w:r>
          </w:p>
        </w:tc>
      </w:tr>
      <w:tr>
        <w:tc>
          <w:tcPr>
            <w:tcW w:type="dxa" w:w="2400"/>
            <w:tcMar>
              <w:top w:type="dxa" w:w="80"/>
              <w:left w:type="dxa" w:w="100"/>
              <w:bottom w:type="dxa" w:w="80"/>
              <w:right w:type="dxa" w:w="100"/>
            </w:tcMar>
          </w:tcPr>
          <w:p>
            <w:r>
              <w:rPr>
                <w:b w:val="false"/>
                <w:bCs w:val="false"/>
                <w:color w:val="000000"/>
              </w:rPr>
              <w:t xml:space="preserve">Configuration four</w:t>
            </w:r>
          </w:p>
        </w:tc>
        <w:tc>
          <w:tcPr>
            <w:tcW w:type="dxa" w:w="6960"/>
            <w:tcMar>
              <w:top w:type="dxa" w:w="80"/>
              <w:left w:type="dxa" w:w="100"/>
              <w:bottom w:type="dxa" w:w="80"/>
              <w:right w:type="dxa" w:w="100"/>
            </w:tcMar>
          </w:tcPr>
          <w:p>
            <w:r>
              <w:rPr>
                <w:b w:val="false"/>
                <w:bCs w:val="false"/>
                <w:color w:val="000000"/>
              </w:rPr>
              <w:t xml:space="preserve">Vue schématique des zones, édition géométrie</w:t>
            </w:r>
          </w:p>
        </w:tc>
      </w:tr>
      <w:tr>
        <w:tc>
          <w:tcPr>
            <w:tcW w:type="dxa" w:w="2400"/>
            <w:tcMar>
              <w:top w:type="dxa" w:w="80"/>
              <w:left w:type="dxa" w:w="100"/>
              <w:bottom w:type="dxa" w:w="80"/>
              <w:right w:type="dxa" w:w="100"/>
            </w:tcMar>
          </w:tcPr>
          <w:p>
            <w:r>
              <w:rPr>
                <w:b w:val="false"/>
                <w:bCs w:val="false"/>
                <w:color w:val="000000"/>
              </w:rPr>
              <w:t xml:space="preserve">Gestion types de briques</w:t>
            </w:r>
          </w:p>
        </w:tc>
        <w:tc>
          <w:tcPr>
            <w:tcW w:type="dxa" w:w="6960"/>
            <w:tcMar>
              <w:top w:type="dxa" w:w="80"/>
              <w:left w:type="dxa" w:w="100"/>
              <w:bottom w:type="dxa" w:w="80"/>
              <w:right w:type="dxa" w:w="100"/>
            </w:tcMar>
          </w:tcPr>
          <w:p>
            <w:r>
              <w:rPr>
                <w:b w:val="false"/>
                <w:bCs w:val="false"/>
                <w:color w:val="000000"/>
              </w:rPr>
              <w:t xml:space="preserve">Liste + création avec formule et taux de chute (section 6)</w:t>
            </w:r>
          </w:p>
        </w:tc>
      </w:tr>
      <w:tr>
        <w:tc>
          <w:tcPr>
            <w:tcW w:type="dxa" w:w="2400"/>
            <w:tcMar>
              <w:top w:type="dxa" w:w="80"/>
              <w:left w:type="dxa" w:w="100"/>
              <w:bottom w:type="dxa" w:w="80"/>
              <w:right w:type="dxa" w:w="100"/>
            </w:tcMar>
          </w:tcPr>
          <w:p>
            <w:r>
              <w:rPr>
                <w:b w:val="false"/>
                <w:bCs w:val="false"/>
                <w:color w:val="000000"/>
              </w:rPr>
              <w:t xml:space="preserve">Calcul besoin théorique</w:t>
            </w:r>
          </w:p>
        </w:tc>
        <w:tc>
          <w:tcPr>
            <w:tcW w:type="dxa" w:w="6960"/>
            <w:tcMar>
              <w:top w:type="dxa" w:w="80"/>
              <w:left w:type="dxa" w:w="100"/>
              <w:bottom w:type="dxa" w:w="80"/>
              <w:right w:type="dxa" w:w="100"/>
            </w:tcMar>
          </w:tcPr>
          <w:p>
            <w:r>
              <w:rPr>
                <w:b w:val="false"/>
                <w:bCs w:val="false"/>
                <w:color w:val="000000"/>
              </w:rPr>
              <w:t xml:space="preserve">Sélection zone(s), saisie/validation du diamètre et de l'épaisseur utilisés, calcul auto, tableau récapitulatif</w:t>
            </w:r>
          </w:p>
        </w:tc>
      </w:tr>
      <w:tr>
        <w:tc>
          <w:tcPr>
            <w:tcW w:type="dxa" w:w="2400"/>
            <w:tcMar>
              <w:top w:type="dxa" w:w="80"/>
              <w:left w:type="dxa" w:w="100"/>
              <w:bottom w:type="dxa" w:w="80"/>
              <w:right w:type="dxa" w:w="100"/>
            </w:tcMar>
          </w:tcPr>
          <w:p>
            <w:r>
              <w:rPr>
                <w:b w:val="false"/>
                <w:bCs w:val="false"/>
                <w:color w:val="000000"/>
              </w:rPr>
              <w:t xml:space="preserve">Saisie consommation réelle</w:t>
            </w:r>
          </w:p>
        </w:tc>
        <w:tc>
          <w:tcPr>
            <w:tcW w:type="dxa" w:w="6960"/>
            <w:tcMar>
              <w:top w:type="dxa" w:w="80"/>
              <w:left w:type="dxa" w:w="100"/>
              <w:bottom w:type="dxa" w:w="80"/>
              <w:right w:type="dxa" w:w="100"/>
            </w:tcMar>
          </w:tcPr>
          <w:p>
            <w:r>
              <w:rPr>
                <w:b w:val="false"/>
                <w:bCs w:val="false"/>
                <w:color w:val="000000"/>
              </w:rPr>
              <w:t xml:space="preserve">Formulaire de ressaisie au poste (depuis relevé papier), indicateur d'écart immédiat pour repérer une erreur de saisie</w:t>
            </w:r>
          </w:p>
        </w:tc>
      </w:tr>
      <w:tr>
        <w:tc>
          <w:tcPr>
            <w:tcW w:type="dxa" w:w="2400"/>
            <w:tcMar>
              <w:top w:type="dxa" w:w="80"/>
              <w:left w:type="dxa" w:w="100"/>
              <w:bottom w:type="dxa" w:w="80"/>
              <w:right w:type="dxa" w:w="100"/>
            </w:tcMar>
          </w:tcPr>
          <w:p>
            <w:r>
              <w:rPr>
                <w:b w:val="false"/>
                <w:bCs w:val="false"/>
                <w:color w:val="000000"/>
              </w:rPr>
              <w:t xml:space="preserve">Écarts théorique/réel</w:t>
            </w:r>
          </w:p>
        </w:tc>
        <w:tc>
          <w:tcPr>
            <w:tcW w:type="dxa" w:w="6960"/>
            <w:tcMar>
              <w:top w:type="dxa" w:w="80"/>
              <w:left w:type="dxa" w:w="100"/>
              <w:bottom w:type="dxa" w:w="80"/>
              <w:right w:type="dxa" w:w="100"/>
            </w:tcMar>
          </w:tcPr>
          <w:p>
            <w:r>
              <w:rPr>
                <w:b w:val="false"/>
                <w:bCs w:val="false"/>
                <w:color w:val="000000"/>
              </w:rPr>
              <w:t xml:space="preserve">Tableau/graphique par zone, campagne, type de brique</w:t>
            </w:r>
          </w:p>
        </w:tc>
      </w:tr>
      <w:tr>
        <w:tc>
          <w:tcPr>
            <w:tcW w:type="dxa" w:w="2400"/>
            <w:tcMar>
              <w:top w:type="dxa" w:w="80"/>
              <w:left w:type="dxa" w:w="100"/>
              <w:bottom w:type="dxa" w:w="80"/>
              <w:right w:type="dxa" w:w="100"/>
            </w:tcMar>
          </w:tcPr>
          <w:p>
            <w:r>
              <w:rPr>
                <w:b w:val="false"/>
                <w:bCs w:val="false"/>
                <w:color w:val="000000"/>
              </w:rPr>
              <w:t xml:space="preserve">Stock magasin</w:t>
            </w:r>
          </w:p>
        </w:tc>
        <w:tc>
          <w:tcPr>
            <w:tcW w:type="dxa" w:w="6960"/>
            <w:tcMar>
              <w:top w:type="dxa" w:w="80"/>
              <w:left w:type="dxa" w:w="100"/>
              <w:bottom w:type="dxa" w:w="80"/>
              <w:right w:type="dxa" w:w="100"/>
            </w:tcMar>
          </w:tcPr>
          <w:p>
            <w:r>
              <w:rPr>
                <w:b w:val="false"/>
                <w:bCs w:val="false"/>
                <w:color w:val="000000"/>
              </w:rPr>
              <w:t xml:space="preserve">Tableau stock avec seuils, entrées/sorties, alertes sous seuil</w:t>
            </w:r>
          </w:p>
        </w:tc>
      </w:tr>
      <w:tr>
        <w:tc>
          <w:tcPr>
            <w:tcW w:type="dxa" w:w="2400"/>
            <w:tcMar>
              <w:top w:type="dxa" w:w="80"/>
              <w:left w:type="dxa" w:w="100"/>
              <w:bottom w:type="dxa" w:w="80"/>
              <w:right w:type="dxa" w:w="100"/>
            </w:tcMar>
          </w:tcPr>
          <w:p>
            <w:r>
              <w:rPr>
                <w:b w:val="false"/>
                <w:bCs w:val="false"/>
                <w:color w:val="000000"/>
              </w:rPr>
              <w:t xml:space="preserve">Historique campagnes</w:t>
            </w:r>
          </w:p>
        </w:tc>
        <w:tc>
          <w:tcPr>
            <w:tcW w:type="dxa" w:w="6960"/>
            <w:tcMar>
              <w:top w:type="dxa" w:w="80"/>
              <w:left w:type="dxa" w:w="100"/>
              <w:bottom w:type="dxa" w:w="80"/>
              <w:right w:type="dxa" w:w="100"/>
            </w:tcMar>
          </w:tcPr>
          <w:p>
            <w:r>
              <w:rPr>
                <w:b w:val="false"/>
                <w:bCs w:val="false"/>
                <w:color w:val="000000"/>
              </w:rPr>
              <w:t xml:space="preserve">Liste chronologique + détail par campagne</w:t>
            </w:r>
          </w:p>
        </w:tc>
      </w:tr>
    </w:tbl>
    <w:p>
      <w:pPr>
        <w:spacing w:after="100"/>
      </w:pPr>
    </w:p>
    <w:p>
      <w:pPr>
        <w:spacing w:after="120"/>
      </w:pPr>
      <w:r>
        <w:t xml:space="preserve">Navigation : menu latéral fixe, sélecteur de four si multi-fours. Interface de bureau classique — aucune optimisation tactile/mobile requise en V1 (voir section 2).</w:t>
      </w:r>
    </w:p>
    <w:p>
      <w:pPr>
        <w:pStyle w:val="Heading1"/>
      </w:pPr>
      <w:r>
        <w:t xml:space="preserve">8. Points critiques et décisions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3864" w:val="clear"/>
            <w:tcMar>
              <w:top w:type="dxa" w:w="80"/>
              <w:left w:type="dxa" w:w="100"/>
              <w:bottom w:type="dxa" w:w="80"/>
              <w:right w:type="dxa" w:w="100"/>
            </w:tcMar>
          </w:tcPr>
          <w:p>
            <w:r>
              <w:rPr>
                <w:b/>
                <w:bCs/>
                <w:color w:val="FFFFFF"/>
              </w:rPr>
              <w:t xml:space="preserve">Point</w:t>
            </w:r>
          </w:p>
        </w:tc>
        <w:tc>
          <w:tcPr>
            <w:tcW w:type="dxa" w:w="3200"/>
            <w:shd w:fill="1F3864" w:val="clear"/>
            <w:tcMar>
              <w:top w:type="dxa" w:w="80"/>
              <w:left w:type="dxa" w:w="100"/>
              <w:bottom w:type="dxa" w:w="80"/>
              <w:right w:type="dxa" w:w="100"/>
            </w:tcMar>
          </w:tcPr>
          <w:p>
            <w:r>
              <w:rPr>
                <w:b/>
                <w:bCs/>
                <w:color w:val="FFFFFF"/>
              </w:rPr>
              <w:t xml:space="preserve">Risque initial</w:t>
            </w:r>
          </w:p>
        </w:tc>
        <w:tc>
          <w:tcPr>
            <w:tcW w:type="dxa" w:w="2960"/>
            <w:shd w:fill="1F3864" w:val="clear"/>
            <w:tcMar>
              <w:top w:type="dxa" w:w="80"/>
              <w:left w:type="dxa" w:w="100"/>
              <w:bottom w:type="dxa" w:w="80"/>
              <w:right w:type="dxa" w:w="100"/>
            </w:tcMar>
          </w:tcPr>
          <w:p>
            <w:r>
              <w:rPr>
                <w:b/>
                <w:bCs/>
                <w:color w:val="FFFFFF"/>
              </w:rPr>
              <w:t xml:space="preserve">Décision V1</w:t>
            </w:r>
          </w:p>
        </w:tc>
      </w:tr>
      <w:tr>
        <w:tc>
          <w:tcPr>
            <w:tcW w:type="dxa" w:w="3200"/>
            <w:tcMar>
              <w:top w:type="dxa" w:w="80"/>
              <w:left w:type="dxa" w:w="100"/>
              <w:bottom w:type="dxa" w:w="80"/>
              <w:right w:type="dxa" w:w="100"/>
            </w:tcMar>
          </w:tcPr>
          <w:p>
            <w:r>
              <w:rPr>
                <w:b w:val="false"/>
                <w:bCs w:val="false"/>
                <w:color w:val="000000"/>
              </w:rPr>
              <w:t xml:space="preserve">Géométrie conique du four (usure progressive)</w:t>
            </w:r>
          </w:p>
        </w:tc>
        <w:tc>
          <w:tcPr>
            <w:tcW w:type="dxa" w:w="3200"/>
            <w:tcMar>
              <w:top w:type="dxa" w:w="80"/>
              <w:left w:type="dxa" w:w="100"/>
              <w:bottom w:type="dxa" w:w="80"/>
              <w:right w:type="dxa" w:w="100"/>
            </w:tcMar>
          </w:tcPr>
          <w:p>
            <w:r>
              <w:rPr>
                <w:b w:val="false"/>
                <w:bCs w:val="false"/>
                <w:color w:val="000000"/>
              </w:rPr>
              <w:t xml:space="preserve">Écart théorique/réel qui dérive dans le temps</w:t>
            </w:r>
          </w:p>
        </w:tc>
        <w:tc>
          <w:tcPr>
            <w:tcW w:type="dxa" w:w="2960"/>
            <w:tcMar>
              <w:top w:type="dxa" w:w="80"/>
              <w:left w:type="dxa" w:w="100"/>
              <w:bottom w:type="dxa" w:w="80"/>
              <w:right w:type="dxa" w:w="100"/>
            </w:tcMar>
          </w:tcPr>
          <w:p>
            <w:r>
              <w:rPr>
                <w:b w:val="false"/>
                <w:bCs w:val="false"/>
                <w:color w:val="000000"/>
              </w:rPr>
              <w:t xml:space="preserve">Diamètre/épaisseur saisis et figés par campagne (section 4, BesoinTheorique), plutôt qu'une valeur unique et statique par zone</w:t>
            </w:r>
          </w:p>
        </w:tc>
      </w:tr>
      <w:tr>
        <w:tc>
          <w:tcPr>
            <w:tcW w:type="dxa" w:w="3200"/>
            <w:tcMar>
              <w:top w:type="dxa" w:w="80"/>
              <w:left w:type="dxa" w:w="100"/>
              <w:bottom w:type="dxa" w:w="80"/>
              <w:right w:type="dxa" w:w="100"/>
            </w:tcMar>
          </w:tcPr>
          <w:p>
            <w:r>
              <w:rPr>
                <w:b w:val="false"/>
                <w:bCs w:val="false"/>
                <w:color w:val="000000"/>
              </w:rPr>
              <w:t xml:space="preserve">Types de briques différents par zone</w:t>
            </w:r>
          </w:p>
        </w:tc>
        <w:tc>
          <w:tcPr>
            <w:tcW w:type="dxa" w:w="3200"/>
            <w:tcMar>
              <w:top w:type="dxa" w:w="80"/>
              <w:left w:type="dxa" w:w="100"/>
              <w:bottom w:type="dxa" w:w="80"/>
              <w:right w:type="dxa" w:w="100"/>
            </w:tcMar>
          </w:tcPr>
          <w:p>
            <w:r>
              <w:rPr>
                <w:b w:val="false"/>
                <w:bCs w:val="false"/>
                <w:color w:val="000000"/>
              </w:rPr>
              <w:t xml:space="preserve">Erreur si mal paramétré</w:t>
            </w:r>
          </w:p>
        </w:tc>
        <w:tc>
          <w:tcPr>
            <w:tcW w:type="dxa" w:w="2960"/>
            <w:tcMar>
              <w:top w:type="dxa" w:w="80"/>
              <w:left w:type="dxa" w:w="100"/>
              <w:bottom w:type="dxa" w:w="80"/>
              <w:right w:type="dxa" w:w="100"/>
            </w:tcMar>
          </w:tcPr>
          <w:p>
            <w:r>
              <w:rPr>
                <w:b w:val="false"/>
                <w:bCs w:val="false"/>
                <w:color w:val="000000"/>
              </w:rPr>
              <w:t xml:space="preserve">Association Zone ↔ TypeBrique explicite dans le modèle ; pas de changement</w:t>
            </w:r>
          </w:p>
        </w:tc>
      </w:tr>
      <w:tr>
        <w:tc>
          <w:tcPr>
            <w:tcW w:type="dxa" w:w="3200"/>
            <w:tcMar>
              <w:top w:type="dxa" w:w="80"/>
              <w:left w:type="dxa" w:w="100"/>
              <w:bottom w:type="dxa" w:w="80"/>
              <w:right w:type="dxa" w:w="100"/>
            </w:tcMar>
          </w:tcPr>
          <w:p>
            <w:r>
              <w:rPr>
                <w:b w:val="false"/>
                <w:bCs w:val="false"/>
                <w:color w:val="000000"/>
              </w:rPr>
              <w:t xml:space="preserve">Chutes de découpe (briques cintrées)</w:t>
            </w:r>
          </w:p>
        </w:tc>
        <w:tc>
          <w:tcPr>
            <w:tcW w:type="dxa" w:w="3200"/>
            <w:tcMar>
              <w:top w:type="dxa" w:w="80"/>
              <w:left w:type="dxa" w:w="100"/>
              <w:bottom w:type="dxa" w:w="80"/>
              <w:right w:type="dxa" w:w="100"/>
            </w:tcMar>
          </w:tcPr>
          <w:p>
            <w:r>
              <w:rPr>
                <w:b w:val="false"/>
                <w:bCs w:val="false"/>
                <w:color w:val="000000"/>
              </w:rPr>
              <w:t xml:space="preserve">Sous-estimation systématique du besoin réel</w:t>
            </w:r>
          </w:p>
        </w:tc>
        <w:tc>
          <w:tcPr>
            <w:tcW w:type="dxa" w:w="2960"/>
            <w:tcMar>
              <w:top w:type="dxa" w:w="80"/>
              <w:left w:type="dxa" w:w="100"/>
              <w:bottom w:type="dxa" w:w="80"/>
              <w:right w:type="dxa" w:w="100"/>
            </w:tcMar>
          </w:tcPr>
          <w:p>
            <w:r>
              <w:rPr>
                <w:b w:val="false"/>
                <w:bCs w:val="false"/>
                <w:color w:val="000000"/>
              </w:rPr>
              <w:t xml:space="preserve">Paramètre taux_chute ajouté par TypeBrique/format, intégré à la formule</w:t>
            </w:r>
          </w:p>
        </w:tc>
      </w:tr>
      <w:tr>
        <w:tc>
          <w:tcPr>
            <w:tcW w:type="dxa" w:w="3200"/>
            <w:tcMar>
              <w:top w:type="dxa" w:w="80"/>
              <w:left w:type="dxa" w:w="100"/>
              <w:bottom w:type="dxa" w:w="80"/>
              <w:right w:type="dxa" w:w="100"/>
            </w:tcMar>
          </w:tcPr>
          <w:p>
            <w:r>
              <w:rPr>
                <w:b w:val="false"/>
                <w:bCs w:val="false"/>
                <w:color w:val="000000"/>
              </w:rPr>
              <w:t xml:space="preserve">Formule en texte libre</w:t>
            </w:r>
          </w:p>
        </w:tc>
        <w:tc>
          <w:tcPr>
            <w:tcW w:type="dxa" w:w="3200"/>
            <w:tcMar>
              <w:top w:type="dxa" w:w="80"/>
              <w:left w:type="dxa" w:w="100"/>
              <w:bottom w:type="dxa" w:w="80"/>
              <w:right w:type="dxa" w:w="100"/>
            </w:tcMar>
          </w:tcPr>
          <w:p>
            <w:r>
              <w:rPr>
                <w:b w:val="false"/>
                <w:bCs w:val="false"/>
                <w:color w:val="000000"/>
              </w:rPr>
              <w:t xml:space="preserve">Injection / plantage</w:t>
            </w:r>
          </w:p>
        </w:tc>
        <w:tc>
          <w:tcPr>
            <w:tcW w:type="dxa" w:w="2960"/>
            <w:tcMar>
              <w:top w:type="dxa" w:w="80"/>
              <w:left w:type="dxa" w:w="100"/>
              <w:bottom w:type="dxa" w:w="80"/>
              <w:right w:type="dxa" w:w="100"/>
            </w:tcMar>
          </w:tcPr>
          <w:p>
            <w:r>
              <w:rPr>
                <w:b w:val="false"/>
                <w:bCs w:val="false"/>
                <w:color w:val="000000"/>
              </w:rPr>
              <w:t xml:space="preserve">Risque requalifié : pas d'exposition réseau donc pas de risque de sécurité ; robustesse assurée par un évaluateur restreint + test obligatoire</w:t>
            </w:r>
          </w:p>
        </w:tc>
      </w:tr>
      <w:tr>
        <w:tc>
          <w:tcPr>
            <w:tcW w:type="dxa" w:w="3200"/>
            <w:tcMar>
              <w:top w:type="dxa" w:w="80"/>
              <w:left w:type="dxa" w:w="100"/>
              <w:bottom w:type="dxa" w:w="80"/>
              <w:right w:type="dxa" w:w="100"/>
            </w:tcMar>
          </w:tcPr>
          <w:p>
            <w:r>
              <w:rPr>
                <w:b w:val="false"/>
                <w:bCs w:val="false"/>
                <w:color w:val="000000"/>
              </w:rPr>
              <w:t xml:space="preserve">Saisie uniquement lors d'arrêt / après coup</w:t>
            </w:r>
          </w:p>
        </w:tc>
        <w:tc>
          <w:tcPr>
            <w:tcW w:type="dxa" w:w="3200"/>
            <w:tcMar>
              <w:top w:type="dxa" w:w="80"/>
              <w:left w:type="dxa" w:w="100"/>
              <w:bottom w:type="dxa" w:w="80"/>
              <w:right w:type="dxa" w:w="100"/>
            </w:tcMar>
          </w:tcPr>
          <w:p>
            <w:r>
              <w:rPr>
                <w:b w:val="false"/>
                <w:bCs w:val="false"/>
                <w:color w:val="000000"/>
              </w:rPr>
              <w:t xml:space="preserve">Données incomplètes ou tardives</w:t>
            </w:r>
          </w:p>
        </w:tc>
        <w:tc>
          <w:tcPr>
            <w:tcW w:type="dxa" w:w="2960"/>
            <w:tcMar>
              <w:top w:type="dxa" w:w="80"/>
              <w:left w:type="dxa" w:w="100"/>
              <w:bottom w:type="dxa" w:w="80"/>
              <w:right w:type="dxa" w:w="100"/>
            </w:tcMar>
          </w:tcPr>
          <w:p>
            <w:r>
              <w:rPr>
                <w:b w:val="false"/>
                <w:bCs w:val="false"/>
                <w:color w:val="000000"/>
              </w:rPr>
              <w:t xml:space="preserve">Assumé : capture papier sur le terrain puis ressaisie au poste (section 2) ; le workflow est conçu pour ça</w:t>
            </w:r>
          </w:p>
        </w:tc>
      </w:tr>
      <w:tr>
        <w:tc>
          <w:tcPr>
            <w:tcW w:type="dxa" w:w="3200"/>
            <w:tcMar>
              <w:top w:type="dxa" w:w="80"/>
              <w:left w:type="dxa" w:w="100"/>
              <w:bottom w:type="dxa" w:w="80"/>
              <w:right w:type="dxa" w:w="100"/>
            </w:tcMar>
          </w:tcPr>
          <w:p>
            <w:r>
              <w:rPr>
                <w:b w:val="false"/>
                <w:bCs w:val="false"/>
                <w:color w:val="000000"/>
              </w:rPr>
              <w:t xml:space="preserve">Perte de données (poste unique, pas de réseau)</w:t>
            </w:r>
          </w:p>
        </w:tc>
        <w:tc>
          <w:tcPr>
            <w:tcW w:type="dxa" w:w="3200"/>
            <w:tcMar>
              <w:top w:type="dxa" w:w="80"/>
              <w:left w:type="dxa" w:w="100"/>
              <w:bottom w:type="dxa" w:w="80"/>
              <w:right w:type="dxa" w:w="100"/>
            </w:tcMar>
          </w:tcPr>
          <w:p>
            <w:r>
              <w:rPr>
                <w:b w:val="false"/>
                <w:bCs w:val="false"/>
                <w:color w:val="000000"/>
              </w:rPr>
              <w:t xml:space="preserve">Aucune sauvegarde envisagée initialement</w:t>
            </w:r>
          </w:p>
        </w:tc>
        <w:tc>
          <w:tcPr>
            <w:tcW w:type="dxa" w:w="2960"/>
            <w:tcMar>
              <w:top w:type="dxa" w:w="80"/>
              <w:left w:type="dxa" w:w="100"/>
              <w:bottom w:type="dxa" w:w="80"/>
              <w:right w:type="dxa" w:w="100"/>
            </w:tcMar>
          </w:tcPr>
          <w:p>
            <w:r>
              <w:rPr>
                <w:b w:val="false"/>
                <w:bCs w:val="false"/>
                <w:color w:val="000000"/>
              </w:rPr>
              <w:t xml:space="preserve">Sauvegarde locale automatique à chaque fermeture de l'application (section 10)</w:t>
            </w:r>
          </w:p>
        </w:tc>
      </w:tr>
    </w:tbl>
    <w:p>
      <w:pPr>
        <w:spacing w:after="100"/>
      </w:pPr>
    </w:p>
    <w:p>
      <w:pPr>
        <w:pStyle w:val="Heading1"/>
      </w:pPr>
      <w:r>
        <w:t xml:space="preserve">9. Choix techniques (figés)</w:t>
      </w:r>
    </w:p>
    <w:p>
      <w:pPr>
        <w:pStyle w:val="ListParagraph"/>
        <w:numPr>
          <w:ilvl w:val="0"/>
          <w:numId w:val="2"/>
        </w:numPr>
        <w:spacing w:after="60"/>
      </w:pPr>
      <w:r>
        <w:t xml:space="preserve">Plateforme : application web servie localement (Django, pages rendues côté serveur), consultée dans un navigateur sur le même poste — pas de frontend séparé (React écarté pour limiter la complexité d'installation/maintenance sur un poste isolé)</w:t>
      </w:r>
    </w:p>
    <w:p>
      <w:pPr>
        <w:pStyle w:val="ListParagraph"/>
        <w:numPr>
          <w:ilvl w:val="0"/>
          <w:numId w:val="2"/>
        </w:numPr>
        <w:spacing w:after="60"/>
      </w:pPr>
      <w:r>
        <w:t xml:space="preserve">Base de données : SQLite (fichier unique, sans serveur de base de données à administrer) — cohérent avec un usage mono-utilisateur, mono-poste, sans accès concurrent</w:t>
      </w:r>
    </w:p>
    <w:p>
      <w:pPr>
        <w:pStyle w:val="ListParagraph"/>
        <w:numPr>
          <w:ilvl w:val="0"/>
          <w:numId w:val="2"/>
        </w:numPr>
        <w:spacing w:after="60"/>
      </w:pPr>
      <w:r>
        <w:t xml:space="preserve">Réseau : aucun. Le poste ne dispose d'aucune connexion, ni interne ni internet. Toute dépendance à une ressource externe (CDN, API tierce) est proscrite ; toutes les bibliothèques doivent être embarquées localement à l'installation</w:t>
      </w:r>
    </w:p>
    <w:p>
      <w:pPr>
        <w:pStyle w:val="ListParagraph"/>
        <w:numPr>
          <w:ilvl w:val="0"/>
          <w:numId w:val="2"/>
        </w:numPr>
        <w:spacing w:after="60"/>
      </w:pPr>
      <w:r>
        <w:t xml:space="preserve">Authentification : aucune en V1 (section 2)</w:t>
      </w:r>
    </w:p>
    <w:p>
      <w:pPr>
        <w:pStyle w:val="ListParagraph"/>
        <w:numPr>
          <w:ilvl w:val="0"/>
          <w:numId w:val="2"/>
        </w:numPr>
        <w:spacing w:after="60"/>
      </w:pPr>
      <w:r>
        <w:t xml:space="preserve">Intégration ERP (SAP MM ou autre) : hors de portée en V1 (absence de réseau), à réévaluer en V2 si le contexte d'exploitation change</w:t>
      </w:r>
    </w:p>
    <w:p>
      <w:pPr>
        <w:pStyle w:val="ListParagraph"/>
        <w:numPr>
          <w:ilvl w:val="0"/>
          <w:numId w:val="2"/>
        </w:numPr>
        <w:spacing w:after="60"/>
      </w:pPr>
      <w:r>
        <w:t xml:space="preserve">Mode hors-ligne : sans objet au sens "synchronisation" — l'application est nativement locale, il n'y a rien à synchroniser</w:t>
      </w:r>
    </w:p>
    <w:p>
      <w:pPr>
        <w:pStyle w:val="Heading1"/>
      </w:pPr>
      <w:r>
        <w:t xml:space="preserve">10. Sauvegarde des données</w:t>
      </w:r>
    </w:p>
    <w:p>
      <w:pPr>
        <w:spacing w:after="120"/>
      </w:pPr>
      <w:r>
        <w:t xml:space="preserve">Le poste étant unique et non connecté, la perte du fichier de base de données (panne disque, suppression accidentelle) représenterait une perte totale et irréversible de l'historique. Une sauvegarde locale automatique est donc requise dès la V1.</w:t>
      </w:r>
    </w:p>
    <w:p>
      <w:pPr>
        <w:pStyle w:val="ListParagraph"/>
        <w:numPr>
          <w:ilvl w:val="0"/>
          <w:numId w:val="2"/>
        </w:numPr>
        <w:spacing w:after="60"/>
      </w:pPr>
      <w:r>
        <w:t xml:space="preserve">Déclenchement : une copie horodatée du fichier de base de données (SQLite) est effectuée automatiquement à chaque fermeture de l'application</w:t>
      </w:r>
    </w:p>
    <w:p>
      <w:pPr>
        <w:pStyle w:val="ListParagraph"/>
        <w:numPr>
          <w:ilvl w:val="0"/>
          <w:numId w:val="2"/>
        </w:numPr>
        <w:spacing w:after="60"/>
      </w:pPr>
      <w:r>
        <w:t xml:space="preserve">Emplacement : un dossier local dédié (ex. backups/), distinct du fichier de travail</w:t>
      </w:r>
    </w:p>
    <w:p>
      <w:pPr>
        <w:pStyle w:val="ListParagraph"/>
        <w:numPr>
          <w:ilvl w:val="0"/>
          <w:numId w:val="2"/>
        </w:numPr>
        <w:spacing w:after="60"/>
      </w:pPr>
      <w:r>
        <w:t xml:space="preserve">Rétention : conservation des N dernières sauvegardes (ex. 30), au-delà desquelles les plus anciennes sont supprimées automatiquement — valeur à ajuster selon l'espace disque disponible</w:t>
      </w:r>
    </w:p>
    <w:p>
      <w:pPr>
        <w:spacing w:after="150"/>
      </w:pPr>
      <w:r>
        <w:rPr>
          <w:i/>
          <w:iCs/>
          <w:color w:val="555555"/>
          <w:sz w:val="20"/>
          <w:szCs w:val="20"/>
        </w:rPr>
        <w:t xml:space="preserve">Limite à connaître : une sauvegarde sur le même disque ne protège pas contre une panne matérielle du disque lui-même. Il est recommandé de copier périodiquement le dossier de sauvegarde sur une clé USB ou un support externe, même si cette étape reste manuelle en V1.</w:t>
      </w:r>
    </w:p>
    <w:p>
      <w:pPr>
        <w:pStyle w:val="Heading1"/>
      </w:pPr>
      <w:r>
        <w:t xml:space="preserve">11. Plan de développement suggéré</w:t>
      </w:r>
    </w:p>
    <w:p>
      <w:pPr>
        <w:spacing w:after="120"/>
      </w:pPr>
      <w:r>
        <w:rPr>
          <w:b/>
          <w:bCs/>
        </w:rPr>
        <w:t xml:space="preserve">Ordre de construction recommandé, compte tenu d'un développement en solo :</w:t>
      </w:r>
    </w:p>
    <w:p>
      <w:pPr>
        <w:pStyle w:val="ListParagraph"/>
        <w:numPr>
          <w:ilvl w:val="0"/>
          <w:numId w:val="2"/>
        </w:numPr>
        <w:spacing w:after="60"/>
      </w:pPr>
      <w:r>
        <w:t xml:space="preserve">1. Zone (CRUD)</w:t>
      </w:r>
    </w:p>
    <w:p>
      <w:pPr>
        <w:pStyle w:val="ListParagraph"/>
        <w:numPr>
          <w:ilvl w:val="0"/>
          <w:numId w:val="2"/>
        </w:numPr>
        <w:spacing w:after="60"/>
      </w:pPr>
      <w:r>
        <w:t xml:space="preserve">2. TypeBrique + formule (texte libre, évaluateur restreint) + taux_chute</w:t>
      </w:r>
    </w:p>
    <w:p>
      <w:pPr>
        <w:pStyle w:val="ListParagraph"/>
        <w:numPr>
          <w:ilvl w:val="0"/>
          <w:numId w:val="2"/>
        </w:numPr>
        <w:spacing w:after="60"/>
      </w:pPr>
      <w:r>
        <w:t xml:space="preserve">3. Calcul du besoin théorique (avec saisie du diamètre/épaisseur utilisés)</w:t>
      </w:r>
    </w:p>
    <w:p>
      <w:pPr>
        <w:pStyle w:val="ListParagraph"/>
        <w:numPr>
          <w:ilvl w:val="0"/>
          <w:numId w:val="2"/>
        </w:numPr>
        <w:spacing w:after="60"/>
      </w:pPr>
      <w:r>
        <w:t xml:space="preserve">4. Saisie de la consommation réelle (ressaisie au poste)</w:t>
      </w:r>
    </w:p>
    <w:p>
      <w:pPr>
        <w:pStyle w:val="ListParagraph"/>
        <w:numPr>
          <w:ilvl w:val="0"/>
          <w:numId w:val="2"/>
        </w:numPr>
        <w:spacing w:after="60"/>
      </w:pPr>
      <w:r>
        <w:t xml:space="preserve">5. Stock (alimenté automatiquement par la consommation réelle)</w:t>
      </w:r>
    </w:p>
    <w:p>
      <w:pPr>
        <w:pStyle w:val="ListParagraph"/>
        <w:numPr>
          <w:ilvl w:val="0"/>
          <w:numId w:val="2"/>
        </w:numPr>
        <w:spacing w:after="60"/>
      </w:pPr>
      <w:r>
        <w:t xml:space="preserve">6. Écarts (vue calculée, non stockée)</w:t>
      </w:r>
    </w:p>
    <w:p>
      <w:pPr>
        <w:pStyle w:val="ListParagraph"/>
        <w:numPr>
          <w:ilvl w:val="0"/>
          <w:numId w:val="2"/>
        </w:numPr>
        <w:spacing w:after="60"/>
      </w:pPr>
      <w:r>
        <w:t xml:space="preserve">7. Sauvegarde automatique à la fermeture</w:t>
      </w:r>
    </w:p>
    <w:p>
      <w:pPr>
        <w:pStyle w:val="ListParagraph"/>
        <w:numPr>
          <w:ilvl w:val="0"/>
          <w:numId w:val="2"/>
        </w:numPr>
        <w:spacing w:after="60"/>
      </w:pPr>
      <w:r>
        <w:t xml:space="preserve">8. Dashboard (en dernier — agrège tout ce qui précède)</w:t>
      </w:r>
    </w:p>
    <w:p>
      <w:pPr>
        <w:spacing w:after="100"/>
      </w:pPr>
    </w:p>
    <w:p>
      <w:pPr>
        <w:spacing w:after="120"/>
      </w:pPr>
      <w:r>
        <w:rPr>
          <w:i/>
          <w:iCs/>
          <w:color w:val="555555"/>
        </w:rPr>
        <w:t xml:space="preserve">V2 (hors périmètre V1) : historique enrichi, reporting/export, durée de vie prédictive, intégration ERP, traçabilité par QR/code-barres, éventuel passage multi-utilisateur avec authentification.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28"/>
      <w:szCs w:val="28"/>
    </w:rPr>
  </w:style>
  <w:style w:type="paragraph" w:styleId="Heading2">
    <w:name w:val="Heading 2"/>
    <w:basedOn w:val="Normal"/>
    <w:next w:val="Normal"/>
    <w:qFormat/>
    <w:pPr>
      <w:spacing w:after="100" w:before="22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2026-07-04T12:25:12.948Z</dcterms:created>
  <dcterms:modified xsi:type="dcterms:W3CDTF">2026-07-04T12:25:12.949Z</dcterms:modified>
</cp:coreProperties>
</file>

<file path=docProps/custom.xml><?xml version="1.0" encoding="utf-8"?>
<Properties xmlns="http://schemas.openxmlformats.org/officeDocument/2006/custom-properties" xmlns:vt="http://schemas.openxmlformats.org/officeDocument/2006/docPropsVTypes"/>
</file>