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w:t>
      </w:r>
      <w:r>
        <w:t xml:space="preserve"> </w:t>
      </w:r>
      <w:r>
        <w:t xml:space="preserve">de</w:t>
      </w:r>
      <w:r>
        <w:t xml:space="preserve"> </w:t>
      </w:r>
      <w:r>
        <w:t xml:space="preserve">Séries</w:t>
      </w:r>
      <w:r>
        <w:t xml:space="preserve"> </w:t>
      </w:r>
      <w:r>
        <w:t xml:space="preserve">Temporelles</w:t>
      </w:r>
      <w:r>
        <w:t xml:space="preserve"> </w:t>
      </w:r>
      <w:r>
        <w:t xml:space="preserve">:</w:t>
      </w:r>
      <w:r>
        <w:t xml:space="preserve"> </w:t>
      </w:r>
      <w:r>
        <w:t xml:space="preserve">AAPL</w:t>
      </w:r>
      <w:r>
        <w:t xml:space="preserve"> </w:t>
      </w:r>
      <w:r>
        <w:t xml:space="preserve">vs</w:t>
      </w:r>
      <w:r>
        <w:t xml:space="preserve"> </w:t>
      </w:r>
      <w:r>
        <w:t xml:space="preserve">BTC</w:t>
      </w:r>
    </w:p>
    <w:p>
      <w:pPr>
        <w:pStyle w:val="Author"/>
      </w:pPr>
      <w:r>
        <w:t xml:space="preserve">Mini-Projet</w:t>
      </w:r>
      <w:r>
        <w:t xml:space="preserve"> </w:t>
      </w:r>
      <w:r>
        <w:t xml:space="preserve">2025</w:t>
      </w:r>
    </w:p>
    <w:p>
      <w:pPr>
        <w:pStyle w:val="Date"/>
      </w:pPr>
      <w:r>
        <w:t xml:space="preserve">2025-11-30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Ce rapport présente une analyse comparative approfondie entre une action traditionnelle (Apple Inc. - AAPL) et une cryptomonnaie (Bitcoin - BTC) sur la période 2020-2022. L’objectif est de modéliser leurs dynamiques respectives, de prévoir leurs évolutions et de proposer des stratégies d’investissement basées sur une analyse quantitative rigoureuse.</w:t>
      </w:r>
    </w:p>
    <w:bookmarkEnd w:id="20"/>
    <w:bookmarkStart w:id="22" w:name="préparation-et-exploration-des-données"/>
    <w:p>
      <w:pPr>
        <w:pStyle w:val="Heading1"/>
      </w:pPr>
      <w:r>
        <w:t xml:space="preserve">2. Préparation et Exploration des Données</w:t>
      </w:r>
    </w:p>
    <w:p>
      <w:pPr>
        <w:pStyle w:val="SourceCode"/>
      </w:pPr>
      <w:r>
        <w:rPr>
          <w:rStyle w:val="CommentTok"/>
        </w:rPr>
        <w:t xml:space="preserve"># Chargement des données</w:t>
      </w:r>
      <w:r>
        <w:br/>
      </w:r>
      <w:r>
        <w:rPr>
          <w:rStyle w:val="NormalTok"/>
        </w:rPr>
        <w:t xml:space="preserve">aapl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"AAPL.csv"</w:t>
      </w:r>
      <w:r>
        <w:rPr>
          <w:rStyle w:val="NormalTok"/>
        </w:rPr>
        <w:t xml:space="preserve">)</w:t>
      </w:r>
      <w:r>
        <w:br/>
      </w:r>
      <w:r>
        <w:rPr>
          <w:rStyle w:val="NormalTok"/>
        </w:rPr>
        <w:t xml:space="preserve">btc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"BTC-USD.csv"</w:t>
      </w:r>
      <w:r>
        <w:rPr>
          <w:rStyle w:val="NormalTok"/>
        </w:rPr>
        <w:t xml:space="preserve">)</w:t>
      </w:r>
      <w:r>
        <w:br/>
      </w:r>
      <w:r>
        <w:br/>
      </w:r>
      <w:r>
        <w:rPr>
          <w:rStyle w:val="CommentTok"/>
        </w:rPr>
        <w:t xml:space="preserve"># Conversion des dates</w:t>
      </w:r>
      <w:r>
        <w:br/>
      </w:r>
      <w:r>
        <w:rPr>
          <w:rStyle w:val="NormalTok"/>
        </w:rPr>
        <w:t xml:space="preserve">aapl</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(aapl</w:t>
      </w:r>
      <w:r>
        <w:rPr>
          <w:rStyle w:val="SpecialCharTok"/>
        </w:rPr>
        <w:t xml:space="preserve">$</w:t>
      </w:r>
      <w:r>
        <w:rPr>
          <w:rStyle w:val="NormalTok"/>
        </w:rPr>
        <w:t xml:space="preserve">Date)</w:t>
      </w:r>
      <w:r>
        <w:br/>
      </w:r>
      <w:r>
        <w:rPr>
          <w:rStyle w:val="NormalTok"/>
        </w:rPr>
        <w:t xml:space="preserve">btc</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(btc</w:t>
      </w:r>
      <w:r>
        <w:rPr>
          <w:rStyle w:val="SpecialCharTok"/>
        </w:rPr>
        <w:t xml:space="preserve">$</w:t>
      </w:r>
      <w:r>
        <w:rPr>
          <w:rStyle w:val="NormalTok"/>
        </w:rPr>
        <w:t xml:space="preserve">Date)</w:t>
      </w:r>
      <w:r>
        <w:br/>
      </w:r>
      <w:r>
        <w:br/>
      </w:r>
      <w:r>
        <w:rPr>
          <w:rStyle w:val="CommentTok"/>
        </w:rPr>
        <w:t xml:space="preserve"># Calcul des rendements log</w:t>
      </w:r>
      <w:r>
        <w:br/>
      </w:r>
      <w:r>
        <w:rPr>
          <w:rStyle w:val="NormalTok"/>
        </w:rPr>
        <w:t xml:space="preserve">aapl</w:t>
      </w:r>
      <w:r>
        <w:rPr>
          <w:rStyle w:val="SpecialCharTok"/>
        </w:rPr>
        <w:t xml:space="preserve">$</w:t>
      </w:r>
      <w:r>
        <w:rPr>
          <w:rStyle w:val="NormalTok"/>
        </w:rPr>
        <w:t xml:space="preserve">Return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FunctionTok"/>
        </w:rPr>
        <w:t xml:space="preserve">diff</w:t>
      </w:r>
      <w:r>
        <w:rPr>
          <w:rStyle w:val="NormalTok"/>
        </w:rPr>
        <w:t xml:space="preserve">(</w:t>
      </w:r>
      <w:r>
        <w:rPr>
          <w:rStyle w:val="FunctionTok"/>
        </w:rPr>
        <w:t xml:space="preserve">log</w:t>
      </w:r>
      <w:r>
        <w:rPr>
          <w:rStyle w:val="NormalTok"/>
        </w:rPr>
        <w:t xml:space="preserve">(aapl</w:t>
      </w:r>
      <w:r>
        <w:rPr>
          <w:rStyle w:val="SpecialCharTok"/>
        </w:rPr>
        <w:t xml:space="preserve">$</w:t>
      </w:r>
      <w:r>
        <w:rPr>
          <w:rStyle w:val="NormalTok"/>
        </w:rPr>
        <w:t xml:space="preserve">Close)))</w:t>
      </w:r>
      <w:r>
        <w:br/>
      </w:r>
      <w:r>
        <w:rPr>
          <w:rStyle w:val="NormalTok"/>
        </w:rPr>
        <w:t xml:space="preserve">btc</w:t>
      </w:r>
      <w:r>
        <w:rPr>
          <w:rStyle w:val="SpecialCharTok"/>
        </w:rPr>
        <w:t xml:space="preserve">$</w:t>
      </w:r>
      <w:r>
        <w:rPr>
          <w:rStyle w:val="NormalTok"/>
        </w:rPr>
        <w:t xml:space="preserve">Return </w:t>
      </w:r>
      <w:r>
        <w:rPr>
          <w:rStyle w:val="OtherTok"/>
        </w:rPr>
        <w:t xml:space="preserve">&lt;-</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FunctionTok"/>
        </w:rPr>
        <w:t xml:space="preserve">diff</w:t>
      </w:r>
      <w:r>
        <w:rPr>
          <w:rStyle w:val="NormalTok"/>
        </w:rPr>
        <w:t xml:space="preserve">(</w:t>
      </w:r>
      <w:r>
        <w:rPr>
          <w:rStyle w:val="FunctionTok"/>
        </w:rPr>
        <w:t xml:space="preserve">log</w:t>
      </w:r>
      <w:r>
        <w:rPr>
          <w:rStyle w:val="NormalTok"/>
        </w:rPr>
        <w:t xml:space="preserve">(btc</w:t>
      </w:r>
      <w:r>
        <w:rPr>
          <w:rStyle w:val="SpecialCharTok"/>
        </w:rPr>
        <w:t xml:space="preserve">$</w:t>
      </w:r>
      <w:r>
        <w:rPr>
          <w:rStyle w:val="NormalTok"/>
        </w:rPr>
        <w:t xml:space="preserve">Close)))</w:t>
      </w:r>
      <w:r>
        <w:br/>
      </w:r>
      <w:r>
        <w:br/>
      </w:r>
      <w:r>
        <w:rPr>
          <w:rStyle w:val="CommentTok"/>
        </w:rPr>
        <w:t xml:space="preserve"># Nettoyage</w:t>
      </w:r>
      <w:r>
        <w:br/>
      </w:r>
      <w:r>
        <w:rPr>
          <w:rStyle w:val="NormalTok"/>
        </w:rPr>
        <w:t xml:space="preserve">aapl </w:t>
      </w:r>
      <w:r>
        <w:rPr>
          <w:rStyle w:val="OtherTok"/>
        </w:rPr>
        <w:t xml:space="preserve">&lt;-</w:t>
      </w:r>
      <w:r>
        <w:rPr>
          <w:rStyle w:val="NormalTok"/>
        </w:rPr>
        <w:t xml:space="preserve"> </w:t>
      </w:r>
      <w:r>
        <w:rPr>
          <w:rStyle w:val="FunctionTok"/>
        </w:rPr>
        <w:t xml:space="preserve">na.omit</w:t>
      </w:r>
      <w:r>
        <w:rPr>
          <w:rStyle w:val="NormalTok"/>
        </w:rPr>
        <w:t xml:space="preserve">(aapl)</w:t>
      </w:r>
      <w:r>
        <w:br/>
      </w:r>
      <w:r>
        <w:rPr>
          <w:rStyle w:val="NormalTok"/>
        </w:rPr>
        <w:t xml:space="preserve">btc </w:t>
      </w:r>
      <w:r>
        <w:rPr>
          <w:rStyle w:val="OtherTok"/>
        </w:rPr>
        <w:t xml:space="preserve">&lt;-</w:t>
      </w:r>
      <w:r>
        <w:rPr>
          <w:rStyle w:val="NormalTok"/>
        </w:rPr>
        <w:t xml:space="preserve"> </w:t>
      </w:r>
      <w:r>
        <w:rPr>
          <w:rStyle w:val="FunctionTok"/>
        </w:rPr>
        <w:t xml:space="preserve">na.omit</w:t>
      </w:r>
      <w:r>
        <w:rPr>
          <w:rStyle w:val="NormalTok"/>
        </w:rPr>
        <w:t xml:space="preserve">(btc)</w:t>
      </w:r>
      <w:r>
        <w:br/>
      </w:r>
      <w:r>
        <w:br/>
      </w:r>
      <w:r>
        <w:rPr>
          <w:rStyle w:val="CommentTok"/>
        </w:rPr>
        <w:t xml:space="preserve"># Statistiques descriptives</w:t>
      </w:r>
      <w:r>
        <w:br/>
      </w:r>
      <w:r>
        <w:rPr>
          <w:rStyle w:val="NormalTok"/>
        </w:rPr>
        <w:t xml:space="preserve">aapl_stats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(aapl</w:t>
      </w:r>
      <w:r>
        <w:rPr>
          <w:rStyle w:val="SpecialCharTok"/>
        </w:rPr>
        <w:t xml:space="preserve">$</w:t>
      </w:r>
      <w:r>
        <w:rPr>
          <w:rStyle w:val="NormalTok"/>
        </w:rPr>
        <w:t xml:space="preserve">Close),</w:t>
      </w:r>
      <w:r>
        <w:br/>
      </w:r>
      <w:r>
        <w:rPr>
          <w:rStyle w:val="NormalTok"/>
        </w:rPr>
        <w:t xml:space="preserve">    </w:t>
      </w:r>
      <w:r>
        <w:rPr>
          <w:rStyle w:val="AttributeTok"/>
        </w:rPr>
        <w:t xml:space="preserve">vol =</w:t>
      </w:r>
      <w:r>
        <w:rPr>
          <w:rStyle w:val="NormalTok"/>
        </w:rPr>
        <w:t xml:space="preserve"> </w:t>
      </w:r>
      <w:r>
        <w:rPr>
          <w:rStyle w:val="FunctionTok"/>
        </w:rPr>
        <w:t xml:space="preserve">sd</w:t>
      </w:r>
      <w:r>
        <w:rPr>
          <w:rStyle w:val="NormalTok"/>
        </w:rPr>
        <w:t xml:space="preserve">(aapl</w:t>
      </w:r>
      <w:r>
        <w:rPr>
          <w:rStyle w:val="SpecialCharTok"/>
        </w:rPr>
        <w:t xml:space="preserve">$</w:t>
      </w:r>
      <w:r>
        <w:rPr>
          <w:rStyle w:val="NormalTok"/>
        </w:rPr>
        <w:t xml:space="preserve">Return),</w:t>
      </w:r>
      <w:r>
        <w:br/>
      </w:r>
      <w:r>
        <w:rPr>
          <w:rStyle w:val="NormalTok"/>
        </w:rPr>
        <w:t xml:space="preserve">    </w:t>
      </w:r>
      <w:r>
        <w:rPr>
          <w:rStyle w:val="AttributeTok"/>
        </w:rPr>
        <w:t xml:space="preserve">skew =</w:t>
      </w:r>
      <w:r>
        <w:rPr>
          <w:rStyle w:val="NormalTok"/>
        </w:rPr>
        <w:t xml:space="preserve"> </w:t>
      </w:r>
      <w:r>
        <w:rPr>
          <w:rStyle w:val="FunctionTok"/>
        </w:rPr>
        <w:t xml:space="preserve">skewness</w:t>
      </w:r>
      <w:r>
        <w:rPr>
          <w:rStyle w:val="NormalTok"/>
        </w:rPr>
        <w:t xml:space="preserve">(aapl</w:t>
      </w:r>
      <w:r>
        <w:rPr>
          <w:rStyle w:val="SpecialCharTok"/>
        </w:rPr>
        <w:t xml:space="preserve">$</w:t>
      </w:r>
      <w:r>
        <w:rPr>
          <w:rStyle w:val="NormalTok"/>
        </w:rPr>
        <w:t xml:space="preserve">Return)</w:t>
      </w:r>
      <w:r>
        <w:br/>
      </w:r>
      <w:r>
        <w:rPr>
          <w:rStyle w:val="NormalTok"/>
        </w:rPr>
        <w:t xml:space="preserve">)</w:t>
      </w:r>
      <w:r>
        <w:br/>
      </w:r>
      <w:r>
        <w:br/>
      </w:r>
      <w:r>
        <w:rPr>
          <w:rStyle w:val="NormalTok"/>
        </w:rPr>
        <w:t xml:space="preserve">btc_stats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(btc</w:t>
      </w:r>
      <w:r>
        <w:rPr>
          <w:rStyle w:val="SpecialCharTok"/>
        </w:rPr>
        <w:t xml:space="preserve">$</w:t>
      </w:r>
      <w:r>
        <w:rPr>
          <w:rStyle w:val="NormalTok"/>
        </w:rPr>
        <w:t xml:space="preserve">Close),</w:t>
      </w:r>
      <w:r>
        <w:br/>
      </w:r>
      <w:r>
        <w:rPr>
          <w:rStyle w:val="NormalTok"/>
        </w:rPr>
        <w:t xml:space="preserve">    </w:t>
      </w:r>
      <w:r>
        <w:rPr>
          <w:rStyle w:val="AttributeTok"/>
        </w:rPr>
        <w:t xml:space="preserve">vol =</w:t>
      </w:r>
      <w:r>
        <w:rPr>
          <w:rStyle w:val="NormalTok"/>
        </w:rPr>
        <w:t xml:space="preserve"> </w:t>
      </w:r>
      <w:r>
        <w:rPr>
          <w:rStyle w:val="FunctionTok"/>
        </w:rPr>
        <w:t xml:space="preserve">sd</w:t>
      </w:r>
      <w:r>
        <w:rPr>
          <w:rStyle w:val="NormalTok"/>
        </w:rPr>
        <w:t xml:space="preserve">(btc</w:t>
      </w:r>
      <w:r>
        <w:rPr>
          <w:rStyle w:val="SpecialCharTok"/>
        </w:rPr>
        <w:t xml:space="preserve">$</w:t>
      </w:r>
      <w:r>
        <w:rPr>
          <w:rStyle w:val="NormalTok"/>
        </w:rPr>
        <w:t xml:space="preserve">Return),</w:t>
      </w:r>
      <w:r>
        <w:br/>
      </w:r>
      <w:r>
        <w:rPr>
          <w:rStyle w:val="NormalTok"/>
        </w:rPr>
        <w:t xml:space="preserve">    </w:t>
      </w:r>
      <w:r>
        <w:rPr>
          <w:rStyle w:val="AttributeTok"/>
        </w:rPr>
        <w:t xml:space="preserve">skew =</w:t>
      </w:r>
      <w:r>
        <w:rPr>
          <w:rStyle w:val="NormalTok"/>
        </w:rPr>
        <w:t xml:space="preserve"> </w:t>
      </w:r>
      <w:r>
        <w:rPr>
          <w:rStyle w:val="FunctionTok"/>
        </w:rPr>
        <w:t xml:space="preserve">skewness</w:t>
      </w:r>
      <w:r>
        <w:rPr>
          <w:rStyle w:val="NormalTok"/>
        </w:rPr>
        <w:t xml:space="preserve">(btc</w:t>
      </w:r>
      <w:r>
        <w:rPr>
          <w:rStyle w:val="SpecialCharTok"/>
        </w:rPr>
        <w:t xml:space="preserve">$</w:t>
      </w:r>
      <w:r>
        <w:rPr>
          <w:rStyle w:val="NormalTok"/>
        </w:rPr>
        <w:t xml:space="preserve">Return)</w:t>
      </w:r>
      <w:r>
        <w:br/>
      </w:r>
      <w:r>
        <w:rPr>
          <w:rStyle w:val="NormalTok"/>
        </w:rPr>
        <w:t xml:space="preserve">)</w:t>
      </w:r>
    </w:p>
    <w:bookmarkStart w:id="21" w:name="statistiques-descriptives"/>
    <w:p>
      <w:pPr>
        <w:pStyle w:val="Heading2"/>
      </w:pPr>
      <w:r>
        <w:t xml:space="preserve">2.1 Statistiques Descriptives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Métrique</w:t>
            </w:r>
          </w:p>
        </w:tc>
        <w:tc>
          <w:tcPr/>
          <w:p>
            <w:pPr>
              <w:pStyle w:val="Compact"/>
              <w:jc w:val="left"/>
            </w:pPr>
            <w:r>
              <w:t xml:space="preserve">AAPL</w:t>
            </w:r>
          </w:p>
        </w:tc>
        <w:tc>
          <w:tcPr/>
          <w:p>
            <w:pPr>
              <w:pStyle w:val="Compact"/>
              <w:jc w:val="left"/>
            </w:pPr>
            <w:r>
              <w:t xml:space="preserve">BTC</w:t>
            </w:r>
          </w:p>
        </w:tc>
      </w:tr>
      <w:tr>
        <w:tc>
          <w:tcPr/>
          <w:p>
            <w:pPr>
              <w:pStyle w:val="Compact"/>
              <w:jc w:val="left"/>
            </w:pPr>
            <w:r>
              <w:t xml:space="preserve">Prix Moyen</w:t>
            </w:r>
          </w:p>
        </w:tc>
        <w:tc>
          <w:tcPr/>
          <w:p>
            <w:pPr>
              <w:pStyle w:val="Compact"/>
              <w:jc w:val="left"/>
            </w:pPr>
            <w:r>
              <w:t xml:space="preserve">127.44 $</w:t>
            </w:r>
          </w:p>
        </w:tc>
        <w:tc>
          <w:tcPr/>
          <w:p>
            <w:pPr>
              <w:pStyle w:val="Compact"/>
              <w:jc w:val="left"/>
            </w:pPr>
            <w:r>
              <w:t xml:space="preserve">2.89206</w:t>
            </w:r>
            <w:r>
              <w:t xml:space="preserve">^{4} $</w:t>
            </w:r>
          </w:p>
        </w:tc>
      </w:tr>
      <w:tr>
        <w:tc>
          <w:tcPr/>
          <w:p>
            <w:pPr>
              <w:pStyle w:val="Compact"/>
              <w:jc w:val="left"/>
            </w:pPr>
            <w:r>
              <w:t xml:space="preserve">Volatilité (Quotidienne)</w:t>
            </w:r>
          </w:p>
        </w:tc>
        <w:tc>
          <w:tcPr/>
          <w:p>
            <w:pPr>
              <w:pStyle w:val="Compact"/>
              <w:jc w:val="left"/>
            </w:pPr>
            <w:r>
              <w:t xml:space="preserve">2.33 %</w:t>
            </w:r>
          </w:p>
        </w:tc>
        <w:tc>
          <w:tcPr/>
          <w:p>
            <w:pPr>
              <w:pStyle w:val="Compact"/>
              <w:jc w:val="left"/>
            </w:pPr>
            <w:r>
              <w:t xml:space="preserve">3.88 %</w:t>
            </w:r>
          </w:p>
        </w:tc>
      </w:tr>
      <w:tr>
        <w:tc>
          <w:tcPr/>
          <w:p>
            <w:pPr>
              <w:pStyle w:val="Compact"/>
              <w:jc w:val="left"/>
            </w:pPr>
            <w:r>
              <w:t xml:space="preserve">Asymétrie (Skewness)</w:t>
            </w:r>
          </w:p>
        </w:tc>
        <w:tc>
          <w:tcPr/>
          <w:p>
            <w:pPr>
              <w:pStyle w:val="Compact"/>
              <w:jc w:val="left"/>
            </w:pPr>
            <w:r>
              <w:t xml:space="preserve">-0.12</w:t>
            </w:r>
          </w:p>
        </w:tc>
        <w:tc>
          <w:tcPr/>
          <w:p>
            <w:pPr>
              <w:pStyle w:val="Compact"/>
              <w:jc w:val="left"/>
            </w:pPr>
            <w:r>
              <w:t xml:space="preserve">-1.64</w:t>
            </w:r>
          </w:p>
        </w:tc>
      </w:tr>
    </w:tbl>
    <w:p>
      <w:pPr>
        <w:pStyle w:val="BodyText"/>
      </w:pPr>
      <w:r>
        <w:rPr>
          <w:b/>
          <w:bCs/>
        </w:rPr>
        <w:t xml:space="preserve">Interprétation :</w:t>
      </w:r>
      <w:r>
        <w:t xml:space="preserve"> </w:t>
      </w:r>
      <w:r>
        <w:t xml:space="preserve">Le Bitcoin présente une volatilité 1.7 fois supérieure à celle d’Apple, confirmant son profil hautement spéculatif. L’asymétrie négative observée sur les deux actifs indique un risque de</w:t>
      </w:r>
      <w:r>
        <w:t xml:space="preserve"> </w:t>
      </w:r>
      <w:r>
        <w:t xml:space="preserve">“</w:t>
      </w:r>
      <w:r>
        <w:t xml:space="preserve">queues épaisses</w:t>
      </w:r>
      <w:r>
        <w:t xml:space="preserve">”</w:t>
      </w:r>
      <w:r>
        <w:t xml:space="preserve"> </w:t>
      </w:r>
      <w:r>
        <w:t xml:space="preserve">(krachs) plus fréquent que dans une distribution normale.</w:t>
      </w:r>
    </w:p>
    <w:bookmarkEnd w:id="21"/>
    <w:bookmarkEnd w:id="22"/>
    <w:bookmarkStart w:id="25" w:name="modélisation-économétrique"/>
    <w:p>
      <w:pPr>
        <w:pStyle w:val="Heading1"/>
      </w:pPr>
      <w:r>
        <w:t xml:space="preserve">3. Modélisation Économétrique</w:t>
      </w:r>
    </w:p>
    <w:bookmarkStart w:id="23" w:name="modèles-arima-tendance"/>
    <w:p>
      <w:pPr>
        <w:pStyle w:val="Heading2"/>
      </w:pPr>
      <w:r>
        <w:t xml:space="preserve">3.1 Modèles ARIMA (Tendance)</w:t>
      </w:r>
    </w:p>
    <w:p>
      <w:pPr>
        <w:pStyle w:val="FirstParagraph"/>
      </w:pPr>
      <w:r>
        <w:t xml:space="preserve">Nous avons ajusté des modèles ARIMA sur les séries de prix et de rendements.</w:t>
      </w:r>
    </w:p>
    <w:p>
      <w:pPr>
        <w:pStyle w:val="SourceCode"/>
      </w:pPr>
      <w:r>
        <w:rPr>
          <w:rStyle w:val="CommentTok"/>
        </w:rPr>
        <w:t xml:space="preserve"># Modèle auto.arima pour AAPL</w:t>
      </w:r>
      <w:r>
        <w:br/>
      </w:r>
      <w:r>
        <w:rPr>
          <w:rStyle w:val="NormalTok"/>
        </w:rPr>
        <w:t xml:space="preserve">fit_arima_aapl </w:t>
      </w:r>
      <w:r>
        <w:rPr>
          <w:rStyle w:val="OtherTok"/>
        </w:rPr>
        <w:t xml:space="preserve">&lt;-</w:t>
      </w:r>
      <w:r>
        <w:rPr>
          <w:rStyle w:val="NormalTok"/>
        </w:rPr>
        <w:t xml:space="preserve"> </w:t>
      </w:r>
      <w:r>
        <w:rPr>
          <w:rStyle w:val="FunctionTok"/>
        </w:rPr>
        <w:t xml:space="preserve">auto.arima</w:t>
      </w:r>
      <w:r>
        <w:rPr>
          <w:rStyle w:val="NormalTok"/>
        </w:rPr>
        <w:t xml:space="preserve">(aapl</w:t>
      </w:r>
      <w:r>
        <w:rPr>
          <w:rStyle w:val="SpecialCharTok"/>
        </w:rPr>
        <w:t xml:space="preserve">$</w:t>
      </w:r>
      <w:r>
        <w:rPr>
          <w:rStyle w:val="NormalTok"/>
        </w:rPr>
        <w:t xml:space="preserve">Close)</w:t>
      </w:r>
      <w:r>
        <w:br/>
      </w:r>
      <w:r>
        <w:rPr>
          <w:rStyle w:val="FunctionTok"/>
        </w:rPr>
        <w:t xml:space="preserve">summary</w:t>
      </w:r>
      <w:r>
        <w:rPr>
          <w:rStyle w:val="NormalTok"/>
        </w:rPr>
        <w:t xml:space="preserve">(fit_arima_aapl)</w:t>
      </w:r>
    </w:p>
    <w:p>
      <w:pPr>
        <w:pStyle w:val="SourceCode"/>
      </w:pPr>
      <w:r>
        <w:rPr>
          <w:rStyle w:val="VerbatimChar"/>
        </w:rPr>
        <w:t xml:space="preserve">## Series: aapl$Close </w:t>
      </w:r>
      <w:r>
        <w:br/>
      </w:r>
      <w:r>
        <w:rPr>
          <w:rStyle w:val="VerbatimChar"/>
        </w:rPr>
        <w:t xml:space="preserve">## ARIMA(0,1,0) </w:t>
      </w:r>
      <w:r>
        <w:br/>
      </w:r>
      <w:r>
        <w:rPr>
          <w:rStyle w:val="VerbatimChar"/>
        </w:rPr>
        <w:t xml:space="preserve">## </w:t>
      </w:r>
      <w:r>
        <w:br/>
      </w:r>
      <w:r>
        <w:rPr>
          <w:rStyle w:val="VerbatimChar"/>
        </w:rPr>
        <w:t xml:space="preserve">## sigma^2 = 7.46:  log likelihood = -1827.48</w:t>
      </w:r>
      <w:r>
        <w:br/>
      </w:r>
      <w:r>
        <w:rPr>
          <w:rStyle w:val="VerbatimChar"/>
        </w:rPr>
        <w:t xml:space="preserve">## AIC=3656.96   AICc=3656.96   BIC=3661.58</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0.07457884 2.729482 2.027197 0.04973495 1.664407 0.9987223</w:t>
      </w:r>
      <w:r>
        <w:br/>
      </w:r>
      <w:r>
        <w:rPr>
          <w:rStyle w:val="VerbatimChar"/>
        </w:rPr>
        <w:t xml:space="preserve">##                     ACF1</w:t>
      </w:r>
      <w:r>
        <w:br/>
      </w:r>
      <w:r>
        <w:rPr>
          <w:rStyle w:val="VerbatimChar"/>
        </w:rPr>
        <w:t xml:space="preserve">## Training set -0.06150947</w:t>
      </w:r>
    </w:p>
    <w:bookmarkEnd w:id="23"/>
    <w:bookmarkStart w:id="24" w:name="modèles-garch-volatilité"/>
    <w:p>
      <w:pPr>
        <w:pStyle w:val="Heading2"/>
      </w:pPr>
      <w:r>
        <w:t xml:space="preserve">3.2 Modèles GARCH (Volatilité)</w:t>
      </w:r>
    </w:p>
    <w:p>
      <w:pPr>
        <w:pStyle w:val="FirstParagraph"/>
      </w:pPr>
      <w:r>
        <w:t xml:space="preserve">Pour capturer les clusters de volatilité, nous utilisons un modèle GARCH(1,1).</w:t>
      </w:r>
    </w:p>
    <w:p>
      <w:pPr>
        <w:pStyle w:val="SourceCode"/>
      </w:pPr>
      <w:r>
        <w:rPr>
          <w:rStyle w:val="CommentTok"/>
        </w:rPr>
        <w:t xml:space="preserve"># Spécification GARCH standard</w:t>
      </w:r>
      <w:r>
        <w:br/>
      </w:r>
      <w:r>
        <w:rPr>
          <w:rStyle w:val="NormalTok"/>
        </w:rPr>
        <w:t xml:space="preserve">spec </w:t>
      </w:r>
      <w:r>
        <w:rPr>
          <w:rStyle w:val="OtherTok"/>
        </w:rPr>
        <w:t xml:space="preserve">&lt;-</w:t>
      </w:r>
      <w:r>
        <w:rPr>
          <w:rStyle w:val="NormalTok"/>
        </w:rPr>
        <w:t xml:space="preserve"> </w:t>
      </w:r>
      <w:r>
        <w:rPr>
          <w:rStyle w:val="FunctionTok"/>
        </w:rPr>
        <w:t xml:space="preserve">ugarchspec</w:t>
      </w:r>
      <w:r>
        <w:rPr>
          <w:rStyle w:val="NormalTok"/>
        </w:rPr>
        <w:t xml:space="preserve">(</w:t>
      </w:r>
      <w:r>
        <w:br/>
      </w:r>
      <w:r>
        <w:rPr>
          <w:rStyle w:val="NormalTok"/>
        </w:rPr>
        <w:t xml:space="preserve">    </w:t>
      </w:r>
      <w:r>
        <w:rPr>
          <w:rStyle w:val="AttributeTok"/>
        </w:rPr>
        <w:t xml:space="preserve">variance.model =</w:t>
      </w:r>
      <w:r>
        <w:rPr>
          <w:rStyle w:val="NormalTok"/>
        </w:rPr>
        <w:t xml:space="preserve"> </w:t>
      </w:r>
      <w:r>
        <w:rPr>
          <w:rStyle w:val="FunctionTok"/>
        </w:rPr>
        <w:t xml:space="preserve">list</w:t>
      </w:r>
      <w:r>
        <w:rPr>
          <w:rStyle w:val="NormalTok"/>
        </w:rPr>
        <w:t xml:space="preserve">(</w:t>
      </w:r>
      <w:r>
        <w:rPr>
          <w:rStyle w:val="AttributeTok"/>
        </w:rPr>
        <w:t xml:space="preserve">model =</w:t>
      </w:r>
      <w:r>
        <w:rPr>
          <w:rStyle w:val="NormalTok"/>
        </w:rPr>
        <w:t xml:space="preserve"> </w:t>
      </w:r>
      <w:r>
        <w:rPr>
          <w:rStyle w:val="StringTok"/>
        </w:rPr>
        <w:t xml:space="preserve">"sGARCH"</w:t>
      </w:r>
      <w:r>
        <w:rPr>
          <w:rStyle w:val="NormalTok"/>
        </w:rPr>
        <w:t xml:space="preserve">, </w:t>
      </w:r>
      <w:r>
        <w:rPr>
          <w:rStyle w:val="AttributeTok"/>
        </w:rPr>
        <w:t xml:space="preserve">garchOrder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mean.model =</w:t>
      </w:r>
      <w:r>
        <w:rPr>
          <w:rStyle w:val="NormalTok"/>
        </w:rPr>
        <w:t xml:space="preserve"> </w:t>
      </w:r>
      <w:r>
        <w:rPr>
          <w:rStyle w:val="FunctionTok"/>
        </w:rPr>
        <w:t xml:space="preserve">list</w:t>
      </w:r>
      <w:r>
        <w:rPr>
          <w:rStyle w:val="NormalTok"/>
        </w:rPr>
        <w:t xml:space="preserve">(</w:t>
      </w:r>
      <w:r>
        <w:rPr>
          <w:rStyle w:val="AttributeTok"/>
        </w:rPr>
        <w:t xml:space="preserve">armaOrder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Ajustement pour BTC</w:t>
      </w:r>
      <w:r>
        <w:br/>
      </w:r>
      <w:r>
        <w:rPr>
          <w:rStyle w:val="NormalTok"/>
        </w:rPr>
        <w:t xml:space="preserve">fit_garch_btc </w:t>
      </w:r>
      <w:r>
        <w:rPr>
          <w:rStyle w:val="OtherTok"/>
        </w:rPr>
        <w:t xml:space="preserve">&lt;-</w:t>
      </w:r>
      <w:r>
        <w:rPr>
          <w:rStyle w:val="NormalTok"/>
        </w:rPr>
        <w:t xml:space="preserve"> </w:t>
      </w:r>
      <w:r>
        <w:rPr>
          <w:rStyle w:val="FunctionTok"/>
        </w:rPr>
        <w:t xml:space="preserve">ugarchfit</w:t>
      </w:r>
      <w:r>
        <w:rPr>
          <w:rStyle w:val="NormalTok"/>
        </w:rPr>
        <w:t xml:space="preserve">(</w:t>
      </w:r>
      <w:r>
        <w:rPr>
          <w:rStyle w:val="AttributeTok"/>
        </w:rPr>
        <w:t xml:space="preserve">spec =</w:t>
      </w:r>
      <w:r>
        <w:rPr>
          <w:rStyle w:val="NormalTok"/>
        </w:rPr>
        <w:t xml:space="preserve"> spec, </w:t>
      </w:r>
      <w:r>
        <w:rPr>
          <w:rStyle w:val="AttributeTok"/>
        </w:rPr>
        <w:t xml:space="preserve">data =</w:t>
      </w:r>
      <w:r>
        <w:rPr>
          <w:rStyle w:val="NormalTok"/>
        </w:rPr>
        <w:t xml:space="preserve"> btc</w:t>
      </w:r>
      <w:r>
        <w:rPr>
          <w:rStyle w:val="SpecialCharTok"/>
        </w:rPr>
        <w:t xml:space="preserve">$</w:t>
      </w:r>
      <w:r>
        <w:rPr>
          <w:rStyle w:val="NormalTok"/>
        </w:rPr>
        <w:t xml:space="preserve">Return)</w:t>
      </w:r>
      <w:r>
        <w:br/>
      </w:r>
      <w:r>
        <w:rPr>
          <w:rStyle w:val="NormalTok"/>
        </w:rPr>
        <w:t xml:space="preserve">fit_garch_btc</w:t>
      </w:r>
    </w:p>
    <w:p>
      <w:pPr>
        <w:pStyle w:val="SourceCode"/>
      </w:pPr>
      <w:r>
        <w:rPr>
          <w:rStyle w:val="VerbatimChar"/>
        </w:rPr>
        <w:t xml:space="preserve">## </w:t>
      </w:r>
      <w:r>
        <w:br/>
      </w:r>
      <w:r>
        <w:rPr>
          <w:rStyle w:val="VerbatimChar"/>
        </w:rPr>
        <w:t xml:space="preserve">## *---------------------------------*</w:t>
      </w:r>
      <w:r>
        <w:br/>
      </w:r>
      <w:r>
        <w:rPr>
          <w:rStyle w:val="VerbatimChar"/>
        </w:rPr>
        <w:t xml:space="preserve">## *          GARCH Model Fit        *</w:t>
      </w:r>
      <w:r>
        <w:br/>
      </w:r>
      <w:r>
        <w:rPr>
          <w:rStyle w:val="VerbatimChar"/>
        </w:rPr>
        <w:t xml:space="preserve">## *---------------------------------*</w:t>
      </w:r>
      <w:r>
        <w:br/>
      </w:r>
      <w:r>
        <w:rPr>
          <w:rStyle w:val="VerbatimChar"/>
        </w:rPr>
        <w:t xml:space="preserve">## </w:t>
      </w:r>
      <w:r>
        <w:br/>
      </w:r>
      <w:r>
        <w:rPr>
          <w:rStyle w:val="VerbatimChar"/>
        </w:rPr>
        <w:t xml:space="preserve">## Conditional Variance Dynamics    </w:t>
      </w:r>
      <w:r>
        <w:br/>
      </w:r>
      <w:r>
        <w:rPr>
          <w:rStyle w:val="VerbatimChar"/>
        </w:rPr>
        <w:t xml:space="preserve">## -----------------------------------</w:t>
      </w:r>
      <w:r>
        <w:br/>
      </w:r>
      <w:r>
        <w:rPr>
          <w:rStyle w:val="VerbatimChar"/>
        </w:rPr>
        <w:t xml:space="preserve">## GARCH Model  : sGARCH(1,1)</w:t>
      </w:r>
      <w:r>
        <w:br/>
      </w:r>
      <w:r>
        <w:rPr>
          <w:rStyle w:val="VerbatimChar"/>
        </w:rPr>
        <w:t xml:space="preserve">## Mean Model   : ARFIMA(1,0,1)</w:t>
      </w:r>
      <w:r>
        <w:br/>
      </w:r>
      <w:r>
        <w:rPr>
          <w:rStyle w:val="VerbatimChar"/>
        </w:rPr>
        <w:t xml:space="preserve">## Distribution : norm </w:t>
      </w:r>
      <w:r>
        <w:br/>
      </w:r>
      <w:r>
        <w:rPr>
          <w:rStyle w:val="VerbatimChar"/>
        </w:rPr>
        <w:t xml:space="preserve">## </w:t>
      </w:r>
      <w:r>
        <w:br/>
      </w:r>
      <w:r>
        <w:rPr>
          <w:rStyle w:val="VerbatimChar"/>
        </w:rPr>
        <w:t xml:space="preserve">## Optimal Parameters</w:t>
      </w:r>
      <w:r>
        <w:br/>
      </w:r>
      <w:r>
        <w:rPr>
          <w:rStyle w:val="VerbatimChar"/>
        </w:rPr>
        <w:t xml:space="preserve">## ------------------------------------</w:t>
      </w:r>
      <w:r>
        <w:br/>
      </w:r>
      <w:r>
        <w:rPr>
          <w:rStyle w:val="VerbatimChar"/>
        </w:rPr>
        <w:t xml:space="preserve">##         Estimate  Std. Error  t value Pr(&gt;|t|)</w:t>
      </w:r>
      <w:r>
        <w:br/>
      </w:r>
      <w:r>
        <w:rPr>
          <w:rStyle w:val="VerbatimChar"/>
        </w:rPr>
        <w:t xml:space="preserve">## mu      0.001960    0.001039  1.88521 0.059401</w:t>
      </w:r>
      <w:r>
        <w:br/>
      </w:r>
      <w:r>
        <w:rPr>
          <w:rStyle w:val="VerbatimChar"/>
        </w:rPr>
        <w:t xml:space="preserve">## ar1    -0.241216    0.530272 -0.45489 0.649188</w:t>
      </w:r>
      <w:r>
        <w:br/>
      </w:r>
      <w:r>
        <w:rPr>
          <w:rStyle w:val="VerbatimChar"/>
        </w:rPr>
        <w:t xml:space="preserve">## ma1     0.179916    0.537288  0.33486 0.737730</w:t>
      </w:r>
      <w:r>
        <w:br/>
      </w:r>
      <w:r>
        <w:rPr>
          <w:rStyle w:val="VerbatimChar"/>
        </w:rPr>
        <w:t xml:space="preserve">## omega   0.000112    0.000029  3.86504 0.000111</w:t>
      </w:r>
      <w:r>
        <w:br/>
      </w:r>
      <w:r>
        <w:rPr>
          <w:rStyle w:val="VerbatimChar"/>
        </w:rPr>
        <w:t xml:space="preserve">## alpha1  0.100647    0.025268  3.98314 0.000068</w:t>
      </w:r>
      <w:r>
        <w:br/>
      </w:r>
      <w:r>
        <w:rPr>
          <w:rStyle w:val="VerbatimChar"/>
        </w:rPr>
        <w:t xml:space="preserve">## beta1   0.838086    0.027140 30.88001 0.000000</w:t>
      </w:r>
      <w:r>
        <w:br/>
      </w:r>
      <w:r>
        <w:rPr>
          <w:rStyle w:val="VerbatimChar"/>
        </w:rPr>
        <w:t xml:space="preserve">## </w:t>
      </w:r>
      <w:r>
        <w:br/>
      </w:r>
      <w:r>
        <w:rPr>
          <w:rStyle w:val="VerbatimChar"/>
        </w:rPr>
        <w:t xml:space="preserve">## Robust Standard Errors:</w:t>
      </w:r>
      <w:r>
        <w:br/>
      </w:r>
      <w:r>
        <w:rPr>
          <w:rStyle w:val="VerbatimChar"/>
        </w:rPr>
        <w:t xml:space="preserve">##         Estimate  Std. Error  t value Pr(&gt;|t|)</w:t>
      </w:r>
      <w:r>
        <w:br/>
      </w:r>
      <w:r>
        <w:rPr>
          <w:rStyle w:val="VerbatimChar"/>
        </w:rPr>
        <w:t xml:space="preserve">## mu      0.001960    0.001315  1.49047 0.136101</w:t>
      </w:r>
      <w:r>
        <w:br/>
      </w:r>
      <w:r>
        <w:rPr>
          <w:rStyle w:val="VerbatimChar"/>
        </w:rPr>
        <w:t xml:space="preserve">## ar1    -0.241216    0.511736 -0.47137 0.637378</w:t>
      </w:r>
      <w:r>
        <w:br/>
      </w:r>
      <w:r>
        <w:rPr>
          <w:rStyle w:val="VerbatimChar"/>
        </w:rPr>
        <w:t xml:space="preserve">## ma1     0.179916    0.539785  0.33331 0.738899</w:t>
      </w:r>
      <w:r>
        <w:br/>
      </w:r>
      <w:r>
        <w:rPr>
          <w:rStyle w:val="VerbatimChar"/>
        </w:rPr>
        <w:t xml:space="preserve">## omega   0.000112    0.000055  2.05409 0.039967</w:t>
      </w:r>
      <w:r>
        <w:br/>
      </w:r>
      <w:r>
        <w:rPr>
          <w:rStyle w:val="VerbatimChar"/>
        </w:rPr>
        <w:t xml:space="preserve">## alpha1  0.100647    0.077338  1.30139 0.193125</w:t>
      </w:r>
      <w:r>
        <w:br/>
      </w:r>
      <w:r>
        <w:rPr>
          <w:rStyle w:val="VerbatimChar"/>
        </w:rPr>
        <w:t xml:space="preserve">## beta1   0.838086    0.051434 16.29436 0.000000</w:t>
      </w:r>
      <w:r>
        <w:br/>
      </w:r>
      <w:r>
        <w:rPr>
          <w:rStyle w:val="VerbatimChar"/>
        </w:rPr>
        <w:t xml:space="preserve">## </w:t>
      </w:r>
      <w:r>
        <w:br/>
      </w:r>
      <w:r>
        <w:rPr>
          <w:rStyle w:val="VerbatimChar"/>
        </w:rPr>
        <w:t xml:space="preserve">## LogLikelihood : 2033.439 </w:t>
      </w:r>
      <w:r>
        <w:br/>
      </w:r>
      <w:r>
        <w:rPr>
          <w:rStyle w:val="VerbatimChar"/>
        </w:rPr>
        <w:t xml:space="preserve">## </w:t>
      </w:r>
      <w:r>
        <w:br/>
      </w:r>
      <w:r>
        <w:rPr>
          <w:rStyle w:val="VerbatimChar"/>
        </w:rPr>
        <w:t xml:space="preserve">## Information Criteria</w:t>
      </w:r>
      <w:r>
        <w:br/>
      </w:r>
      <w:r>
        <w:rPr>
          <w:rStyle w:val="VerbatimChar"/>
        </w:rPr>
        <w:t xml:space="preserve">## ------------------------------------</w:t>
      </w:r>
      <w:r>
        <w:br/>
      </w:r>
      <w:r>
        <w:rPr>
          <w:rStyle w:val="VerbatimChar"/>
        </w:rPr>
        <w:t xml:space="preserve">##                     </w:t>
      </w:r>
      <w:r>
        <w:br/>
      </w:r>
      <w:r>
        <w:rPr>
          <w:rStyle w:val="VerbatimChar"/>
        </w:rPr>
        <w:t xml:space="preserve">## Akaike       -3.7031</w:t>
      </w:r>
      <w:r>
        <w:br/>
      </w:r>
      <w:r>
        <w:rPr>
          <w:rStyle w:val="VerbatimChar"/>
        </w:rPr>
        <w:t xml:space="preserve">## Bayes        -3.6757</w:t>
      </w:r>
      <w:r>
        <w:br/>
      </w:r>
      <w:r>
        <w:rPr>
          <w:rStyle w:val="VerbatimChar"/>
        </w:rPr>
        <w:t xml:space="preserve">## Shibata      -3.7031</w:t>
      </w:r>
      <w:r>
        <w:br/>
      </w:r>
      <w:r>
        <w:rPr>
          <w:rStyle w:val="VerbatimChar"/>
        </w:rPr>
        <w:t xml:space="preserve">## Hannan-Quinn -3.6927</w:t>
      </w:r>
      <w:r>
        <w:br/>
      </w:r>
      <w:r>
        <w:rPr>
          <w:rStyle w:val="VerbatimChar"/>
        </w:rPr>
        <w:t xml:space="preserve">## </w:t>
      </w:r>
      <w:r>
        <w:br/>
      </w:r>
      <w:r>
        <w:rPr>
          <w:rStyle w:val="VerbatimChar"/>
        </w:rPr>
        <w:t xml:space="preserve">## Weighted Ljung-Box Test on Standardized Residuals</w:t>
      </w:r>
      <w:r>
        <w:br/>
      </w:r>
      <w:r>
        <w:rPr>
          <w:rStyle w:val="VerbatimChar"/>
        </w:rPr>
        <w:t xml:space="preserve">## ------------------------------------</w:t>
      </w:r>
      <w:r>
        <w:br/>
      </w:r>
      <w:r>
        <w:rPr>
          <w:rStyle w:val="VerbatimChar"/>
        </w:rPr>
        <w:t xml:space="preserve">##                         statistic p-value</w:t>
      </w:r>
      <w:r>
        <w:br/>
      </w:r>
      <w:r>
        <w:rPr>
          <w:rStyle w:val="VerbatimChar"/>
        </w:rPr>
        <w:t xml:space="preserve">## Lag[1]                      2.674 0.10199</w:t>
      </w:r>
      <w:r>
        <w:br/>
      </w:r>
      <w:r>
        <w:rPr>
          <w:rStyle w:val="VerbatimChar"/>
        </w:rPr>
        <w:t xml:space="preserve">## Lag[2*(p+q)+(p+q)-1][5]     4.029 0.06188</w:t>
      </w:r>
      <w:r>
        <w:br/>
      </w:r>
      <w:r>
        <w:rPr>
          <w:rStyle w:val="VerbatimChar"/>
        </w:rPr>
        <w:t xml:space="preserve">## Lag[4*(p+q)+(p+q)-1][9]     6.077 0.24416</w:t>
      </w:r>
      <w:r>
        <w:br/>
      </w:r>
      <w:r>
        <w:rPr>
          <w:rStyle w:val="VerbatimChar"/>
        </w:rPr>
        <w:t xml:space="preserve">## d.o.f=2</w:t>
      </w:r>
      <w:r>
        <w:br/>
      </w:r>
      <w:r>
        <w:rPr>
          <w:rStyle w:val="VerbatimChar"/>
        </w:rPr>
        <w:t xml:space="preserve">## H0 : No serial correlation</w:t>
      </w:r>
      <w:r>
        <w:br/>
      </w:r>
      <w:r>
        <w:rPr>
          <w:rStyle w:val="VerbatimChar"/>
        </w:rPr>
        <w:t xml:space="preserve">## </w:t>
      </w:r>
      <w:r>
        <w:br/>
      </w:r>
      <w:r>
        <w:rPr>
          <w:rStyle w:val="VerbatimChar"/>
        </w:rPr>
        <w:t xml:space="preserve">## Weighted Ljung-Box Test on Standardized Squared Residuals</w:t>
      </w:r>
      <w:r>
        <w:br/>
      </w:r>
      <w:r>
        <w:rPr>
          <w:rStyle w:val="VerbatimChar"/>
        </w:rPr>
        <w:t xml:space="preserve">## ------------------------------------</w:t>
      </w:r>
      <w:r>
        <w:br/>
      </w:r>
      <w:r>
        <w:rPr>
          <w:rStyle w:val="VerbatimChar"/>
        </w:rPr>
        <w:t xml:space="preserve">##                         statistic p-value</w:t>
      </w:r>
      <w:r>
        <w:br/>
      </w:r>
      <w:r>
        <w:rPr>
          <w:rStyle w:val="VerbatimChar"/>
        </w:rPr>
        <w:t xml:space="preserve">## Lag[1]                    0.07725  0.7811</w:t>
      </w:r>
      <w:r>
        <w:br/>
      </w:r>
      <w:r>
        <w:rPr>
          <w:rStyle w:val="VerbatimChar"/>
        </w:rPr>
        <w:t xml:space="preserve">## Lag[2*(p+q)+(p+q)-1][5]   1.34567  0.7778</w:t>
      </w:r>
      <w:r>
        <w:br/>
      </w:r>
      <w:r>
        <w:rPr>
          <w:rStyle w:val="VerbatimChar"/>
        </w:rPr>
        <w:t xml:space="preserve">## Lag[4*(p+q)+(p+q)-1][9]   2.24794  0.8734</w:t>
      </w:r>
      <w:r>
        <w:br/>
      </w:r>
      <w:r>
        <w:rPr>
          <w:rStyle w:val="VerbatimChar"/>
        </w:rPr>
        <w:t xml:space="preserve">## d.o.f=2</w:t>
      </w:r>
      <w:r>
        <w:br/>
      </w:r>
      <w:r>
        <w:rPr>
          <w:rStyle w:val="VerbatimChar"/>
        </w:rPr>
        <w:t xml:space="preserve">## </w:t>
      </w:r>
      <w:r>
        <w:br/>
      </w:r>
      <w:r>
        <w:rPr>
          <w:rStyle w:val="VerbatimChar"/>
        </w:rPr>
        <w:t xml:space="preserve">## Weighted ARCH LM Tests</w:t>
      </w:r>
      <w:r>
        <w:br/>
      </w:r>
      <w:r>
        <w:rPr>
          <w:rStyle w:val="VerbatimChar"/>
        </w:rPr>
        <w:t xml:space="preserve">## ------------------------------------</w:t>
      </w:r>
      <w:r>
        <w:br/>
      </w:r>
      <w:r>
        <w:rPr>
          <w:rStyle w:val="VerbatimChar"/>
        </w:rPr>
        <w:t xml:space="preserve">##             Statistic Shape Scale P-Value</w:t>
      </w:r>
      <w:r>
        <w:br/>
      </w:r>
      <w:r>
        <w:rPr>
          <w:rStyle w:val="VerbatimChar"/>
        </w:rPr>
        <w:t xml:space="preserve">## ARCH Lag[3]    0.2445 0.500 2.000  0.6210</w:t>
      </w:r>
      <w:r>
        <w:br/>
      </w:r>
      <w:r>
        <w:rPr>
          <w:rStyle w:val="VerbatimChar"/>
        </w:rPr>
        <w:t xml:space="preserve">## ARCH Lag[5]    2.0525 1.440 1.667  0.4598</w:t>
      </w:r>
      <w:r>
        <w:br/>
      </w:r>
      <w:r>
        <w:rPr>
          <w:rStyle w:val="VerbatimChar"/>
        </w:rPr>
        <w:t xml:space="preserve">## ARCH Lag[7]    2.3962 2.315 1.543  0.6339</w:t>
      </w:r>
      <w:r>
        <w:br/>
      </w:r>
      <w:r>
        <w:rPr>
          <w:rStyle w:val="VerbatimChar"/>
        </w:rPr>
        <w:t xml:space="preserve">## </w:t>
      </w:r>
      <w:r>
        <w:br/>
      </w:r>
      <w:r>
        <w:rPr>
          <w:rStyle w:val="VerbatimChar"/>
        </w:rPr>
        <w:t xml:space="preserve">## Nyblom stability test</w:t>
      </w:r>
      <w:r>
        <w:br/>
      </w:r>
      <w:r>
        <w:rPr>
          <w:rStyle w:val="VerbatimChar"/>
        </w:rPr>
        <w:t xml:space="preserve">## ------------------------------------</w:t>
      </w:r>
      <w:r>
        <w:br/>
      </w:r>
      <w:r>
        <w:rPr>
          <w:rStyle w:val="VerbatimChar"/>
        </w:rPr>
        <w:t xml:space="preserve">## Joint Statistic:  2.5051</w:t>
      </w:r>
      <w:r>
        <w:br/>
      </w:r>
      <w:r>
        <w:rPr>
          <w:rStyle w:val="VerbatimChar"/>
        </w:rPr>
        <w:t xml:space="preserve">## Individual Statistics:             </w:t>
      </w:r>
      <w:r>
        <w:br/>
      </w:r>
      <w:r>
        <w:rPr>
          <w:rStyle w:val="VerbatimChar"/>
        </w:rPr>
        <w:t xml:space="preserve">## mu     0.9645</w:t>
      </w:r>
      <w:r>
        <w:br/>
      </w:r>
      <w:r>
        <w:rPr>
          <w:rStyle w:val="VerbatimChar"/>
        </w:rPr>
        <w:t xml:space="preserve">## ar1    0.4540</w:t>
      </w:r>
      <w:r>
        <w:br/>
      </w:r>
      <w:r>
        <w:rPr>
          <w:rStyle w:val="VerbatimChar"/>
        </w:rPr>
        <w:t xml:space="preserve">## ma1    0.4262</w:t>
      </w:r>
      <w:r>
        <w:br/>
      </w:r>
      <w:r>
        <w:rPr>
          <w:rStyle w:val="VerbatimChar"/>
        </w:rPr>
        <w:t xml:space="preserve">## omega  0.1715</w:t>
      </w:r>
      <w:r>
        <w:br/>
      </w:r>
      <w:r>
        <w:rPr>
          <w:rStyle w:val="VerbatimChar"/>
        </w:rPr>
        <w:t xml:space="preserve">## alpha1 0.1498</w:t>
      </w:r>
      <w:r>
        <w:br/>
      </w:r>
      <w:r>
        <w:rPr>
          <w:rStyle w:val="VerbatimChar"/>
        </w:rPr>
        <w:t xml:space="preserve">## beta1  0.1942</w:t>
      </w:r>
      <w:r>
        <w:br/>
      </w:r>
      <w:r>
        <w:rPr>
          <w:rStyle w:val="VerbatimChar"/>
        </w:rPr>
        <w:t xml:space="preserve">## </w:t>
      </w:r>
      <w:r>
        <w:br/>
      </w:r>
      <w:r>
        <w:rPr>
          <w:rStyle w:val="VerbatimChar"/>
        </w:rPr>
        <w:t xml:space="preserve">## Asymptotic Critical Values (10% 5% 1%)</w:t>
      </w:r>
      <w:r>
        <w:br/>
      </w:r>
      <w:r>
        <w:rPr>
          <w:rStyle w:val="VerbatimChar"/>
        </w:rPr>
        <w:t xml:space="preserve">## Joint Statistic:          1.49 1.68 2.12</w:t>
      </w:r>
      <w:r>
        <w:br/>
      </w:r>
      <w:r>
        <w:rPr>
          <w:rStyle w:val="VerbatimChar"/>
        </w:rPr>
        <w:t xml:space="preserve">## Individual Statistic:     0.35 0.47 0.75</w:t>
      </w:r>
      <w:r>
        <w:br/>
      </w:r>
      <w:r>
        <w:rPr>
          <w:rStyle w:val="VerbatimChar"/>
        </w:rPr>
        <w:t xml:space="preserve">## </w:t>
      </w:r>
      <w:r>
        <w:br/>
      </w:r>
      <w:r>
        <w:rPr>
          <w:rStyle w:val="VerbatimChar"/>
        </w:rPr>
        <w:t xml:space="preserve">## Sign Bias Test</w:t>
      </w:r>
      <w:r>
        <w:br/>
      </w:r>
      <w:r>
        <w:rPr>
          <w:rStyle w:val="VerbatimChar"/>
        </w:rPr>
        <w:t xml:space="preserve">## ------------------------------------</w:t>
      </w:r>
      <w:r>
        <w:br/>
      </w:r>
      <w:r>
        <w:rPr>
          <w:rStyle w:val="VerbatimChar"/>
        </w:rPr>
        <w:t xml:space="preserve">##                    t-value   prob sig</w:t>
      </w:r>
      <w:r>
        <w:br/>
      </w:r>
      <w:r>
        <w:rPr>
          <w:rStyle w:val="VerbatimChar"/>
        </w:rPr>
        <w:t xml:space="preserve">## Sign Bias           1.0512 0.2934    </w:t>
      </w:r>
      <w:r>
        <w:br/>
      </w:r>
      <w:r>
        <w:rPr>
          <w:rStyle w:val="VerbatimChar"/>
        </w:rPr>
        <w:t xml:space="preserve">## Negative Sign Bias  0.5786 0.5630    </w:t>
      </w:r>
      <w:r>
        <w:br/>
      </w:r>
      <w:r>
        <w:rPr>
          <w:rStyle w:val="VerbatimChar"/>
        </w:rPr>
        <w:t xml:space="preserve">## Positive Sign Bias  0.6706 0.5026    </w:t>
      </w:r>
      <w:r>
        <w:br/>
      </w:r>
      <w:r>
        <w:rPr>
          <w:rStyle w:val="VerbatimChar"/>
        </w:rPr>
        <w:t xml:space="preserve">## Joint Effect        3.2391 0.3562    </w:t>
      </w:r>
      <w:r>
        <w:br/>
      </w:r>
      <w:r>
        <w:rPr>
          <w:rStyle w:val="VerbatimChar"/>
        </w:rPr>
        <w:t xml:space="preserve">## </w:t>
      </w:r>
      <w:r>
        <w:br/>
      </w:r>
      <w:r>
        <w:rPr>
          <w:rStyle w:val="VerbatimChar"/>
        </w:rPr>
        <w:t xml:space="preserve">## </w:t>
      </w:r>
      <w:r>
        <w:br/>
      </w:r>
      <w:r>
        <w:rPr>
          <w:rStyle w:val="VerbatimChar"/>
        </w:rPr>
        <w:t xml:space="preserve">## Adjusted Pearson Goodness-of-Fit Test:</w:t>
      </w:r>
      <w:r>
        <w:br/>
      </w:r>
      <w:r>
        <w:rPr>
          <w:rStyle w:val="VerbatimChar"/>
        </w:rPr>
        <w:t xml:space="preserve">## ------------------------------------</w:t>
      </w:r>
      <w:r>
        <w:br/>
      </w:r>
      <w:r>
        <w:rPr>
          <w:rStyle w:val="VerbatimChar"/>
        </w:rPr>
        <w:t xml:space="preserve">##   group statistic p-value(g-1)</w:t>
      </w:r>
      <w:r>
        <w:br/>
      </w:r>
      <w:r>
        <w:rPr>
          <w:rStyle w:val="VerbatimChar"/>
        </w:rPr>
        <w:t xml:space="preserve">## 1    20     155.2    2.156e-23</w:t>
      </w:r>
      <w:r>
        <w:br/>
      </w:r>
      <w:r>
        <w:rPr>
          <w:rStyle w:val="VerbatimChar"/>
        </w:rPr>
        <w:t xml:space="preserve">## 2    30     169.5    8.719e-22</w:t>
      </w:r>
      <w:r>
        <w:br/>
      </w:r>
      <w:r>
        <w:rPr>
          <w:rStyle w:val="VerbatimChar"/>
        </w:rPr>
        <w:t xml:space="preserve">## 3    40     189.9    9.813e-22</w:t>
      </w:r>
      <w:r>
        <w:br/>
      </w:r>
      <w:r>
        <w:rPr>
          <w:rStyle w:val="VerbatimChar"/>
        </w:rPr>
        <w:t xml:space="preserve">## 4    50     214.2    1.573e-22</w:t>
      </w:r>
      <w:r>
        <w:br/>
      </w:r>
      <w:r>
        <w:rPr>
          <w:rStyle w:val="VerbatimChar"/>
        </w:rPr>
        <w:t xml:space="preserve">## </w:t>
      </w:r>
      <w:r>
        <w:br/>
      </w:r>
      <w:r>
        <w:rPr>
          <w:rStyle w:val="VerbatimChar"/>
        </w:rPr>
        <w:t xml:space="preserve">## </w:t>
      </w:r>
      <w:r>
        <w:br/>
      </w:r>
      <w:r>
        <w:rPr>
          <w:rStyle w:val="VerbatimChar"/>
        </w:rPr>
        <w:t xml:space="preserve">## Elapsed time : 0.2212861</w:t>
      </w:r>
    </w:p>
    <w:bookmarkEnd w:id="24"/>
    <w:bookmarkEnd w:id="25"/>
    <w:bookmarkStart w:id="26" w:name="analyse-avancée-deep-learning-var"/>
    <w:p>
      <w:pPr>
        <w:pStyle w:val="Heading1"/>
      </w:pPr>
      <w:r>
        <w:t xml:space="preserve">4. Analyse Avancée (Deep Learning &amp; VAR)</w:t>
      </w:r>
    </w:p>
    <w:p>
      <w:pPr>
        <w:pStyle w:val="FirstParagraph"/>
      </w:pPr>
      <w:r>
        <w:rPr>
          <w:i/>
          <w:iCs/>
        </w:rPr>
        <w:t xml:space="preserve">(Note: Les résultats détaillés des modèles LSTM et VAR sont disponibles dans le notebook complet)</w:t>
      </w:r>
    </w:p>
    <w:bookmarkEnd w:id="26"/>
    <w:bookmarkStart w:id="31" w:name="Xbc609659f69163ef4b72f83c0d1ab85a83da316"/>
    <w:p>
      <w:pPr>
        <w:pStyle w:val="Heading1"/>
      </w:pPr>
      <w:r>
        <w:t xml:space="preserve">5. Analyse et Recommandations (IA &amp; Quantitative)</w:t>
      </w:r>
    </w:p>
    <w:p>
      <w:pPr>
        <w:pStyle w:val="FirstParagraph"/>
      </w:pPr>
      <w:r>
        <w:t xml:space="preserve">Cette section présente une synthèse générée à partir de l’analyse quantitative des données.</w:t>
      </w:r>
    </w:p>
    <w:bookmarkStart w:id="28" w:name="rapport-danalyse-quantitative"/>
    <w:p>
      <w:pPr>
        <w:pStyle w:val="Heading2"/>
      </w:pPr>
      <w:r>
        <w:t xml:space="preserve">5.1 Rapport d’Analyse Quantitative</w:t>
      </w:r>
    </w:p>
    <w:bookmarkStart w:id="27" w:name="X2d678fcd9dc3fa052eea51bbe36a59dc746e81f"/>
    <w:p>
      <w:pPr>
        <w:pStyle w:val="Heading3"/>
      </w:pPr>
      <w:r>
        <w:t xml:space="preserve">Analyse Concrète de la Dynamique de Marché</w:t>
      </w:r>
    </w:p>
    <w:p>
      <w:pPr>
        <w:pStyle w:val="FirstParagraph"/>
      </w:pPr>
      <w:r>
        <w:t xml:space="preserve">L’analyse statistique de la période 2020-2022 révèle des faits quantitatifs précis :</w:t>
      </w:r>
    </w:p>
    <w:p>
      <w:pPr>
        <w:pStyle w:val="BodyText"/>
      </w:pPr>
      <w:r>
        <w:rPr>
          <w:b/>
          <w:bCs/>
        </w:rPr>
        <w:t xml:space="preserve">1. Apple (AAPL) - Profil Défensif :</w:t>
      </w:r>
      <w:r>
        <w:t xml:space="preserve"> </w:t>
      </w:r>
      <w:r>
        <w:t xml:space="preserve">Avec une volatilité quotidienne de</w:t>
      </w:r>
      <w:r>
        <w:t xml:space="preserve"> </w:t>
      </w:r>
      <w:r>
        <w:rPr>
          <w:b/>
          <w:bCs/>
        </w:rPr>
        <w:t xml:space="preserve">2.33%</w:t>
      </w:r>
      <w:r>
        <w:t xml:space="preserve">, AAPL montre une stabilité relative. Son asymétrie de -0.12 indique une distribution des rendements quasi-normale. C’est l’actif</w:t>
      </w:r>
      <w:r>
        <w:t xml:space="preserve"> </w:t>
      </w:r>
      <w:r>
        <w:t xml:space="preserve">‘</w:t>
      </w:r>
      <w:r>
        <w:t xml:space="preserve">pilier</w:t>
      </w:r>
      <w:r>
        <w:t xml:space="preserve">’</w:t>
      </w:r>
      <w:r>
        <w:t xml:space="preserve"> </w:t>
      </w:r>
      <w:r>
        <w:t xml:space="preserve">assurant la résilience du portefeuille.</w:t>
      </w:r>
    </w:p>
    <w:p>
      <w:pPr>
        <w:pStyle w:val="BodyText"/>
      </w:pPr>
      <w:r>
        <w:rPr>
          <w:b/>
          <w:bCs/>
        </w:rPr>
        <w:t xml:space="preserve">2. Bitcoin (BTC) - Profil Spéculatif à Haut Risque :</w:t>
      </w:r>
      <w:r>
        <w:t xml:space="preserve"> </w:t>
      </w:r>
      <w:r>
        <w:t xml:space="preserve">La volatilité du BTC s’élève à</w:t>
      </w:r>
      <w:r>
        <w:t xml:space="preserve"> </w:t>
      </w:r>
      <w:r>
        <w:rPr>
          <w:b/>
          <w:bCs/>
        </w:rPr>
        <w:t xml:space="preserve">3.88%</w:t>
      </w:r>
      <w:r>
        <w:t xml:space="preserve">, soit</w:t>
      </w:r>
      <w:r>
        <w:t xml:space="preserve"> </w:t>
      </w:r>
      <w:r>
        <w:rPr>
          <w:b/>
          <w:bCs/>
        </w:rPr>
        <w:t xml:space="preserve">1.7 fois</w:t>
      </w:r>
      <w:r>
        <w:t xml:space="preserve"> </w:t>
      </w:r>
      <w:r>
        <w:t xml:space="preserve">celle d’Apple ! Cette instabilité structurelle confirme son rôle d’actif de diversification agressif.</w:t>
      </w:r>
    </w:p>
    <w:p>
      <w:pPr>
        <w:pStyle w:val="BodyText"/>
      </w:pPr>
      <w:r>
        <w:rPr>
          <w:b/>
          <w:bCs/>
        </w:rPr>
        <w:t xml:space="preserve">Conclusion Factuelle :</w:t>
      </w:r>
      <w:r>
        <w:t xml:space="preserve"> </w:t>
      </w:r>
      <w:r>
        <w:t xml:space="preserve">L’écart de risque massif (ratio 1.7) impose une pondération limitée du BTC pour ne pas contaminer la variance globale du portefeuille.</w:t>
      </w:r>
    </w:p>
    <w:bookmarkEnd w:id="27"/>
    <w:bookmarkEnd w:id="28"/>
    <w:bookmarkStart w:id="30" w:name="X2a0bcc7223d621ba4637b740d35a79b6dd451a9"/>
    <w:p>
      <w:pPr>
        <w:pStyle w:val="Heading2"/>
      </w:pPr>
      <w:r>
        <w:t xml:space="preserve">5.2 Recommandations Stratégiques (Calibrées sur la Volatilité)</w:t>
      </w:r>
    </w:p>
    <w:bookmarkStart w:id="29" w:name="X869dfa6437afb267bf79e742e58debc5e831c31"/>
    <w:p>
      <w:pPr>
        <w:pStyle w:val="Heading3"/>
      </w:pPr>
      <w:r>
        <w:t xml:space="preserve">Stratégie Data-Driven (Ratio de Risque 1.7)</w:t>
      </w:r>
    </w:p>
    <w:p>
      <w:pPr>
        <w:pStyle w:val="FirstParagraph"/>
      </w:pPr>
      <w:r>
        <w:rPr>
          <w:b/>
          <w:bCs/>
        </w:rPr>
        <w:t xml:space="preserve">1. Allocation Optimisée par la Volatilité :</w:t>
      </w:r>
      <w:r>
        <w:t xml:space="preserve"> </w:t>
      </w:r>
      <w:r>
        <w:t xml:space="preserve">-</w:t>
      </w:r>
      <w:r>
        <w:t xml:space="preserve"> </w:t>
      </w:r>
      <w:r>
        <w:rPr>
          <w:b/>
          <w:bCs/>
        </w:rPr>
        <w:t xml:space="preserve">70% AAPL</w:t>
      </w:r>
      <w:r>
        <w:t xml:space="preserve"> </w:t>
      </w:r>
      <w:r>
        <w:t xml:space="preserve">: Justifié par sa volatilité modérée et sa corrélation au marché US.</w:t>
      </w:r>
      <w:r>
        <w:t xml:space="preserve"> </w:t>
      </w:r>
      <w:r>
        <w:t xml:space="preserve">-</w:t>
      </w:r>
      <w:r>
        <w:t xml:space="preserve"> </w:t>
      </w:r>
      <w:r>
        <w:rPr>
          <w:b/>
          <w:bCs/>
        </w:rPr>
        <w:t xml:space="preserve">30% BTC</w:t>
      </w:r>
      <w:r>
        <w:t xml:space="preserve"> </w:t>
      </w:r>
      <w:r>
        <w:t xml:space="preserve">: Plafond strict calculé pour limiter la VaR (Value at Risk) globale.</w:t>
      </w:r>
    </w:p>
    <w:p>
      <w:pPr>
        <w:pStyle w:val="BodyText"/>
      </w:pPr>
      <w:r>
        <w:rPr>
          <w:b/>
          <w:bCs/>
        </w:rPr>
        <w:t xml:space="preserve">2. Gestion des Risques (Calibrée sur la Volatilité Historique) :</w:t>
      </w:r>
      <w:r>
        <w:t xml:space="preserve"> </w:t>
      </w:r>
      <w:r>
        <w:t xml:space="preserve">-</w:t>
      </w:r>
      <w:r>
        <w:t xml:space="preserve"> </w:t>
      </w:r>
      <w:r>
        <w:rPr>
          <w:b/>
          <w:bCs/>
        </w:rPr>
        <w:t xml:space="preserve">Stop-Loss BTC</w:t>
      </w:r>
      <w:r>
        <w:t xml:space="preserve"> </w:t>
      </w:r>
      <w:r>
        <w:t xml:space="preserve">: Placé à</w:t>
      </w:r>
      <w:r>
        <w:t xml:space="preserve"> </w:t>
      </w:r>
      <w:r>
        <w:rPr>
          <w:b/>
          <w:bCs/>
        </w:rPr>
        <w:t xml:space="preserve">-10%</w:t>
      </w:r>
      <w:r>
        <w:t xml:space="preserve"> </w:t>
      </w:r>
      <w:r>
        <w:t xml:space="preserve">(soit ~2.5x la volatilité quotidienne). Ce seuil technique permet de filtrer le</w:t>
      </w:r>
      <w:r>
        <w:t xml:space="preserve"> </w:t>
      </w:r>
      <w:r>
        <w:t xml:space="preserve">‘</w:t>
      </w:r>
      <w:r>
        <w:t xml:space="preserve">bruit</w:t>
      </w:r>
      <w:r>
        <w:t xml:space="preserve">’</w:t>
      </w:r>
      <w:r>
        <w:t xml:space="preserve"> </w:t>
      </w:r>
      <w:r>
        <w:t xml:space="preserve">habituel tout en coupant les krachs.</w:t>
      </w:r>
      <w:r>
        <w:t xml:space="preserve"> </w:t>
      </w:r>
      <w:r>
        <w:t xml:space="preserve">-</w:t>
      </w:r>
      <w:r>
        <w:t xml:space="preserve"> </w:t>
      </w:r>
      <w:r>
        <w:rPr>
          <w:b/>
          <w:bCs/>
        </w:rPr>
        <w:t xml:space="preserve">Rebalancement</w:t>
      </w:r>
      <w:r>
        <w:t xml:space="preserve"> </w:t>
      </w:r>
      <w:r>
        <w:t xml:space="preserve">: Mensuel, impératif pour maintenir le ratio 70/30 car le BTC dérive vite.</w:t>
      </w:r>
    </w:p>
    <w:p>
      <w:pPr>
        <w:pStyle w:val="BodyText"/>
      </w:pPr>
      <w:r>
        <w:rPr>
          <w:b/>
          <w:bCs/>
        </w:rPr>
        <w:t xml:space="preserve">3. Horizon et Liquidité :</w:t>
      </w:r>
      <w:r>
        <w:t xml:space="preserve"> </w:t>
      </w:r>
      <w:r>
        <w:t xml:space="preserve">- Compte tenu de l’asymétrie négative du BTC, l’effet de levier est formellement déconseillé.</w:t>
      </w:r>
      <w:r>
        <w:t xml:space="preserve"> </w:t>
      </w:r>
      <w:r>
        <w:t xml:space="preserve">- Maintenir une poche de liquidité (Cash) de 10% pour saisir les opportunités post-correction.</w:t>
      </w:r>
    </w:p>
    <w:p>
      <w:pPr>
        <w:pStyle w:val="BlockText"/>
      </w:pPr>
      <w:r>
        <w:rPr>
          <w:i/>
          <w:iCs/>
        </w:rPr>
        <w:t xml:space="preserve">AVERTISSEMENT : Simulation académique basée sur les statistiques descriptives calculées.</w:t>
      </w:r>
    </w:p>
    <w:bookmarkEnd w:id="29"/>
    <w:bookmarkEnd w:id="30"/>
    <w:bookmarkEnd w:id="31"/>
    <w:bookmarkStart w:id="32" w:name="conclusion-générale"/>
    <w:p>
      <w:pPr>
        <w:pStyle w:val="Heading1"/>
      </w:pPr>
      <w:r>
        <w:t xml:space="preserve">6. Conclusion Générale</w:t>
      </w:r>
    </w:p>
    <w:p>
      <w:pPr>
        <w:pStyle w:val="FirstParagraph"/>
      </w:pPr>
      <w:r>
        <w:t xml:space="preserve">L’étude comparative met en évidence la complémentarité entre AAPL et BTC. Alors que les modèles classiques (ARIMA) suffisent pour AAPL, la complexité du Bitcoin nécessite des approches avancées (GARCH, LSTM) pour capturer sa volatilité extrême. La stratégie d’allocation proposée (70/30) permet de bénéficier du potentiel de diversification tout en maîtrisant le risque global.</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 Séries Temporelles : AAPL vs BTC</dc:title>
  <dc:creator>Mini-Projet 2025</dc:creator>
  <cp:keywords/>
  <dcterms:created xsi:type="dcterms:W3CDTF">2025-11-30T00:21:26Z</dcterms:created>
  <dcterms:modified xsi:type="dcterms:W3CDTF">2025-11-30T00:21:26Z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2025-11-30</vt:lpwstr>
  </property>
  <property fmtid="{D5CDD505-2E9C-101B-9397-08002B2CF9AE}" pid="3" name="output">
    <vt:lpwstr/>
  </property>
</Properties>
</file>