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8859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1.1: Dashboard des Lagerbestand-Systems mit Barcode-Eingabe, Suchergebnis und Exportbereich</w:t>
      </w:r>
    </w:p>
    <w:p>
      <w:pPr>
        <w:spacing w:after="6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857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1.2: Tablet-Modus für die Bedienung an der Maschine</w:t>
      </w:r>
    </w:p>
    <w:p>
      <w:pPr>
        <w:spacing w:after="60"/>
        <w:jc w:val="center"/>
      </w:pPr>
      <w:r>
        <w:drawing>
          <wp:inline distT="0" distB="0" distL="0" distR="0">
            <wp:extent cx="4572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050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1.3: Verlaufsprotokoll mit Zeitstempel und Mengenänderung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15.05.2026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160" w:line="276"/>
      </w:pPr>
      <w:r>
        <w:rPr>
          <w:rFonts w:ascii="Arial" w:cs="Arial" w:eastAsia="Arial" w:hAnsi="Arial"/>
          <w:b w:val="false"/>
          <w:bCs w:val="false"/>
          <w:i/>
          <w:iCs/>
          <w:color w:val="595959"/>
          <w:sz w:val="22"/>
          <w:szCs w:val="22"/>
        </w:rPr>
        <w:t xml:space="preserve">Dieser Abschnitt wird ausschließlich im Fließtext beschrieben; aus dem Betrieb liegen dazu keine verwertbaren Bilddateien vor.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18.05.2026 – 08.06.2026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jc w:val="center"/>
      </w:pPr>
      <w:r>
        <w:drawing>
          <wp:inline distT="0" distB="0" distL="0" distR="0">
            <wp:extent cx="4572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765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jc w:val="center"/>
      </w:pPr>
      <w:r>
        <w:drawing>
          <wp:inline distT="0" distB="0" distL="0" distR="0">
            <wp:extent cx="4572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0383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09.06.2026 – 25.06.2026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jc w:val="center"/>
      </w:pPr>
      <w:r>
        <w:drawing>
          <wp:inline distT="0" distB="0" distL="0" distR="0">
            <wp:extent cx="27146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146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jc w:val="center"/>
      </w:pPr>
      <w:r>
        <w:drawing>
          <wp:inline distT="0" distB="0" distL="0" distR="0">
            <wp:extent cx="33623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575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4.3: Gewähltes Wagenkonzept mit Gasflaschenhalterung und mehreren Ablagen</w:t>
      </w:r>
    </w:p>
    <w:p>
      <w:pPr>
        <w:spacing w:after="6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jc w:val="center"/>
      </w:pPr>
      <w:r>
        <w:drawing>
          <wp:inline distT="0" distB="0" distL="0" distR="0">
            <wp:extent cx="4333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3387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5.1: Vier untersuchte Bauvarianten der Werkbank im Vergleich</w:t>
      </w:r>
    </w:p>
    <w:p>
      <w:pPr>
        <w:spacing w:after="6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3337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jc w:val="center"/>
      </w:pPr>
      <w:r>
        <w:drawing>
          <wp:inline distT="0" distB="0" distL="0" distR="0">
            <wp:extent cx="4572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5528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337e364bbea5a11c898e7213c4da2a4b53f85c.undefined"/><Relationship Id="rId8" Type="http://schemas.openxmlformats.org/officeDocument/2006/relationships/image" Target="media/20b0cafe7f86f4a94e4a8336841843d921e949e8.undefined"/><Relationship Id="rId9" Type="http://schemas.openxmlformats.org/officeDocument/2006/relationships/image" Target="media/39e1b8f330ddab876e3808484c671f08d697fa0a.undefined"/><Relationship Id="rId10" Type="http://schemas.openxmlformats.org/officeDocument/2006/relationships/image" Target="media/70ccd1387264d7a94819d987cc4a5d3923b8045e.undefined"/><Relationship Id="rId11" Type="http://schemas.openxmlformats.org/officeDocument/2006/relationships/image" Target="media/ccabda0bee341278b0a7a99b6e215b94d2056c48.undefined"/><Relationship Id="rId12" Type="http://schemas.openxmlformats.org/officeDocument/2006/relationships/image" Target="media/f2522470061be630ad51703b7877363ef1a0f7d8.undefined"/><Relationship Id="rId13" Type="http://schemas.openxmlformats.org/officeDocument/2006/relationships/image" Target="media/8a84d56fd70680da740e6eada63c871c8b9d4fac.undefined"/><Relationship Id="rId14" Type="http://schemas.openxmlformats.org/officeDocument/2006/relationships/image" Target="media/4a65a2d4ad2417865ef249cdf3fdf3a4b665286e.undefined"/><Relationship Id="rId15" Type="http://schemas.openxmlformats.org/officeDocument/2006/relationships/image" Target="media/331f65c6cf5460894b1b41319eceaa3e3015ee4c.undefined"/><Relationship Id="rId16" Type="http://schemas.openxmlformats.org/officeDocument/2006/relationships/image" Target="media/52129310a49d1693ce621226373a558025601fc9.undefined"/><Relationship Id="rId17" Type="http://schemas.openxmlformats.org/officeDocument/2006/relationships/image" Target="media/8a6a56b238f30934be192126fe6e437a61a59f03.undefined"/><Relationship Id="rId18" Type="http://schemas.openxmlformats.org/officeDocument/2006/relationships/image" Target="media/40f5e6083cad682c0dbd123e82c8adbe1780129b.undefined"/><Relationship Id="rId19" Type="http://schemas.openxmlformats.org/officeDocument/2006/relationships/image" Target="media/222e0c7b805deb01e1a0052757dab7377ede1106.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2026-08-31T16:36:08.762Z</dcterms:created>
  <dcterms:modified xsi:type="dcterms:W3CDTF">2026-08-31T16:36:08.762Z</dcterms:modified>
</cp:coreProperties>
</file>

<file path=docProps/custom.xml><?xml version="1.0" encoding="utf-8"?>
<Properties xmlns="http://schemas.openxmlformats.org/officeDocument/2006/custom-properties" xmlns:vt="http://schemas.openxmlformats.org/officeDocument/2006/docPropsVTypes"/>
</file>