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EL HAFA MOHAMED </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G-21-322</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GUERDANE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