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D56" w:rsidRDefault="00926D56" w:rsidP="00926D56">
      <w:pPr>
        <w:pStyle w:val="ListParagraph"/>
        <w:numPr>
          <w:ilvl w:val="0"/>
          <w:numId w:val="1"/>
        </w:numPr>
        <w:outlineLvl w:val="2"/>
        <w:rPr>
          <w:rFonts w:ascii="Project Sans" w:hAnsi="Project Sans"/>
          <w:color w:val="A6A6A6" w:themeColor="background1" w:themeShade="A6"/>
          <w:sz w:val="40"/>
          <w:szCs w:val="40"/>
          <w:lang w:val="fr-FR"/>
        </w:rPr>
      </w:pPr>
      <w:r>
        <w:rPr>
          <w:rFonts w:ascii="Project Sans" w:hAnsi="Project Sans"/>
          <w:color w:val="A6A6A6" w:themeColor="background1" w:themeShade="A6"/>
          <w:sz w:val="40"/>
          <w:szCs w:val="40"/>
          <w:lang w:val="fr-FR"/>
        </w:rPr>
        <w:t>Aperçu historique</w:t>
      </w:r>
      <w:r>
        <w:rPr>
          <w:rFonts w:ascii="Cambria" w:hAnsi="Cambria" w:cs="Cambria"/>
          <w:color w:val="A6A6A6" w:themeColor="background1" w:themeShade="A6"/>
          <w:sz w:val="40"/>
          <w:szCs w:val="40"/>
          <w:lang w:val="fr-FR"/>
        </w:rPr>
        <w:t> </w:t>
      </w:r>
      <w:r>
        <w:rPr>
          <w:rFonts w:ascii="Project Sans" w:hAnsi="Project Sans"/>
          <w:color w:val="A6A6A6" w:themeColor="background1" w:themeShade="A6"/>
          <w:sz w:val="40"/>
          <w:szCs w:val="40"/>
          <w:lang w:val="fr-FR"/>
        </w:rPr>
        <w:t>:</w:t>
      </w:r>
    </w:p>
    <w:tbl>
      <w:tblPr>
        <w:tblW w:w="8343" w:type="dxa"/>
        <w:tblInd w:w="540" w:type="dxa"/>
        <w:tblLook w:val="01E0" w:firstRow="1" w:lastRow="1" w:firstColumn="1" w:lastColumn="1" w:noHBand="0" w:noVBand="0"/>
      </w:tblPr>
      <w:tblGrid>
        <w:gridCol w:w="884"/>
        <w:gridCol w:w="7459"/>
      </w:tblGrid>
      <w:tr w:rsidR="00926D56" w:rsidRPr="00921174" w:rsidTr="00D14F73">
        <w:tc>
          <w:tcPr>
            <w:tcW w:w="884" w:type="dxa"/>
            <w:shd w:val="clear" w:color="auto" w:fill="171717" w:themeFill="background2" w:themeFillShade="1A"/>
            <w:hideMark/>
          </w:tcPr>
          <w:p w:rsidR="00926D56" w:rsidRPr="009E506A" w:rsidRDefault="00926D56" w:rsidP="00D14F73">
            <w:pPr>
              <w:spacing w:before="240"/>
              <w:jc w:val="both"/>
              <w:rPr>
                <w:rFonts w:ascii="Calibri" w:hAnsi="Calibri" w:cs="Times New Roman"/>
                <w:b/>
                <w:bCs/>
                <w:color w:val="FFFFFF" w:themeColor="background1"/>
                <w:sz w:val="20"/>
                <w:szCs w:val="20"/>
              </w:rPr>
            </w:pPr>
            <w:r w:rsidRPr="009E506A">
              <w:rPr>
                <w:rFonts w:ascii="Calibri" w:hAnsi="Calibri"/>
                <w:b/>
                <w:bCs/>
                <w:color w:val="FFFFFF" w:themeColor="background1"/>
                <w:sz w:val="20"/>
                <w:szCs w:val="20"/>
              </w:rPr>
              <w:t>1956</w:t>
            </w:r>
          </w:p>
        </w:tc>
        <w:tc>
          <w:tcPr>
            <w:tcW w:w="7459" w:type="dxa"/>
            <w:shd w:val="clear" w:color="auto" w:fill="F2F2F2" w:themeFill="background1" w:themeFillShade="F2"/>
            <w:hideMark/>
          </w:tcPr>
          <w:p w:rsidR="00926D56" w:rsidRPr="009E506A" w:rsidRDefault="00926D56" w:rsidP="00D14F73">
            <w:pPr>
              <w:spacing w:before="240"/>
              <w:jc w:val="both"/>
              <w:rPr>
                <w:rFonts w:ascii="Calibri" w:hAnsi="Calibri"/>
                <w:sz w:val="20"/>
                <w:szCs w:val="20"/>
                <w:lang w:val="fr-FR"/>
              </w:rPr>
            </w:pPr>
            <w:r w:rsidRPr="009E506A">
              <w:rPr>
                <w:rFonts w:ascii="Calibri" w:hAnsi="Calibri"/>
                <w:sz w:val="20"/>
                <w:szCs w:val="20"/>
                <w:lang w:val="fr-FR"/>
              </w:rPr>
              <w:t xml:space="preserve">Dès l’aube de son indépendance en </w:t>
            </w:r>
            <w:r w:rsidRPr="009E506A">
              <w:rPr>
                <w:rFonts w:ascii="Calibri" w:hAnsi="Calibri"/>
                <w:b/>
                <w:bCs/>
                <w:sz w:val="20"/>
                <w:szCs w:val="20"/>
                <w:lang w:val="fr-FR"/>
              </w:rPr>
              <w:t>1956</w:t>
            </w:r>
            <w:r w:rsidRPr="009E506A">
              <w:rPr>
                <w:rFonts w:ascii="Calibri" w:hAnsi="Calibri"/>
                <w:sz w:val="20"/>
                <w:szCs w:val="20"/>
                <w:lang w:val="fr-FR"/>
              </w:rPr>
              <w:t>, le Maroc a confié une priorité stratégique au secteur primaire en vue d’une modernisation capable d’être un levier principal de la croissance du pays.</w:t>
            </w:r>
          </w:p>
        </w:tc>
      </w:tr>
      <w:tr w:rsidR="00926D56" w:rsidRPr="00921174" w:rsidTr="00D14F73">
        <w:tc>
          <w:tcPr>
            <w:tcW w:w="884" w:type="dxa"/>
            <w:shd w:val="clear" w:color="auto" w:fill="171717" w:themeFill="background2" w:themeFillShade="1A"/>
            <w:hideMark/>
          </w:tcPr>
          <w:p w:rsidR="00926D56" w:rsidRPr="009E506A" w:rsidRDefault="00926D56" w:rsidP="00D14F73">
            <w:pPr>
              <w:spacing w:before="240"/>
              <w:jc w:val="both"/>
              <w:rPr>
                <w:rFonts w:ascii="Calibri" w:hAnsi="Calibri"/>
                <w:b/>
                <w:bCs/>
                <w:color w:val="FFFFFF" w:themeColor="background1"/>
                <w:sz w:val="20"/>
                <w:szCs w:val="20"/>
              </w:rPr>
            </w:pPr>
            <w:r w:rsidRPr="009E506A">
              <w:rPr>
                <w:rFonts w:ascii="Calibri" w:hAnsi="Calibri"/>
                <w:b/>
                <w:bCs/>
                <w:color w:val="FFFFFF" w:themeColor="background1"/>
                <w:sz w:val="20"/>
                <w:szCs w:val="20"/>
              </w:rPr>
              <w:t>1961</w:t>
            </w:r>
            <w:r w:rsidRPr="009E506A">
              <w:rPr>
                <w:rFonts w:ascii="Calibri" w:hAnsi="Calibri"/>
                <w:b/>
                <w:bCs/>
                <w:color w:val="FFFFFF" w:themeColor="background1"/>
                <w:sz w:val="20"/>
                <w:szCs w:val="20"/>
              </w:rPr>
              <w:br/>
              <w:t>1966</w:t>
            </w:r>
          </w:p>
        </w:tc>
        <w:tc>
          <w:tcPr>
            <w:tcW w:w="7459" w:type="dxa"/>
            <w:shd w:val="clear" w:color="auto" w:fill="F2F2F2" w:themeFill="background1" w:themeFillShade="F2"/>
            <w:hideMark/>
          </w:tcPr>
          <w:p w:rsidR="00926D56" w:rsidRPr="009E506A" w:rsidRDefault="00926D56" w:rsidP="00D14F73">
            <w:pPr>
              <w:spacing w:before="240"/>
              <w:jc w:val="both"/>
              <w:rPr>
                <w:rFonts w:ascii="Calibri" w:hAnsi="Calibri"/>
                <w:i/>
                <w:iCs/>
                <w:sz w:val="20"/>
                <w:szCs w:val="20"/>
                <w:lang w:val="fr-FR"/>
              </w:rPr>
            </w:pPr>
            <w:r w:rsidRPr="009E506A">
              <w:rPr>
                <w:rFonts w:ascii="Calibri" w:hAnsi="Calibri"/>
                <w:sz w:val="20"/>
                <w:szCs w:val="20"/>
                <w:lang w:val="fr-FR"/>
              </w:rPr>
              <w:t xml:space="preserve">Les Office Régionaux de la Mise en Valeur de l’Agriculture (ORMVA) créés à partir de </w:t>
            </w:r>
            <w:r w:rsidRPr="009E506A">
              <w:rPr>
                <w:rFonts w:ascii="Calibri" w:hAnsi="Calibri"/>
                <w:b/>
                <w:bCs/>
                <w:sz w:val="20"/>
                <w:szCs w:val="20"/>
                <w:lang w:val="fr-FR"/>
              </w:rPr>
              <w:t>1966</w:t>
            </w:r>
            <w:r w:rsidRPr="009E506A">
              <w:rPr>
                <w:rFonts w:ascii="Calibri" w:hAnsi="Calibri"/>
                <w:sz w:val="20"/>
                <w:szCs w:val="20"/>
                <w:lang w:val="fr-FR"/>
              </w:rPr>
              <w:t xml:space="preserve"> sont les héritiers de l’Office National des Irrigations (ONI) créé en </w:t>
            </w:r>
            <w:r w:rsidRPr="009E506A">
              <w:rPr>
                <w:rFonts w:ascii="Calibri" w:hAnsi="Calibri"/>
                <w:b/>
                <w:bCs/>
                <w:sz w:val="20"/>
                <w:szCs w:val="20"/>
                <w:lang w:val="fr-FR"/>
              </w:rPr>
              <w:t>1961</w:t>
            </w:r>
            <w:r w:rsidRPr="009E506A">
              <w:rPr>
                <w:rFonts w:ascii="Calibri" w:hAnsi="Calibri"/>
                <w:sz w:val="20"/>
                <w:szCs w:val="20"/>
                <w:lang w:val="fr-FR"/>
              </w:rPr>
              <w:t xml:space="preserve"> ; les Centres de Mise en Valeur (CMV) appartenant à l’ORMVA </w:t>
            </w:r>
            <w:r w:rsidRPr="009E506A">
              <w:rPr>
                <w:rFonts w:ascii="Calibri" w:hAnsi="Calibri"/>
                <w:i/>
                <w:iCs/>
                <w:spacing w:val="-10"/>
                <w:sz w:val="20"/>
                <w:szCs w:val="20"/>
                <w:u w:val="single" w:color="C0C0C0"/>
                <w:lang w:val="fr-FR"/>
              </w:rPr>
              <w:t>succèdent de leur côté aux Centres de Travaux (CT) qui constituaient les cellules de base de l’intervention avant l’aménagement. La zone d’action des CMV est bien plus réduite que celles des CT et leur autonomie est bien en recul.</w:t>
            </w:r>
            <w:r w:rsidRPr="009E506A">
              <w:rPr>
                <w:rStyle w:val="FootnoteReference"/>
                <w:rFonts w:ascii="Calibri" w:hAnsi="Calibri"/>
                <w:i/>
                <w:iCs/>
                <w:spacing w:val="-10"/>
                <w:sz w:val="20"/>
                <w:szCs w:val="20"/>
                <w:u w:val="single" w:color="C0C0C0"/>
              </w:rPr>
              <w:footnoteReference w:id="1"/>
            </w:r>
          </w:p>
        </w:tc>
      </w:tr>
      <w:tr w:rsidR="00926D56" w:rsidRPr="00921174" w:rsidTr="00D14F73">
        <w:tc>
          <w:tcPr>
            <w:tcW w:w="884" w:type="dxa"/>
            <w:shd w:val="clear" w:color="auto" w:fill="171717" w:themeFill="background2" w:themeFillShade="1A"/>
          </w:tcPr>
          <w:p w:rsidR="00926D56" w:rsidRPr="009E506A" w:rsidRDefault="00926D56" w:rsidP="00D14F73">
            <w:pPr>
              <w:spacing w:before="240"/>
              <w:jc w:val="both"/>
              <w:rPr>
                <w:rFonts w:ascii="Calibri" w:hAnsi="Calibri"/>
                <w:b/>
                <w:bCs/>
                <w:color w:val="FFFFFF" w:themeColor="background1"/>
                <w:sz w:val="20"/>
                <w:szCs w:val="20"/>
                <w:lang w:val="fr-FR"/>
              </w:rPr>
            </w:pPr>
          </w:p>
        </w:tc>
        <w:tc>
          <w:tcPr>
            <w:tcW w:w="7459" w:type="dxa"/>
            <w:shd w:val="clear" w:color="auto" w:fill="F2F2F2" w:themeFill="background1" w:themeFillShade="F2"/>
            <w:hideMark/>
          </w:tcPr>
          <w:p w:rsidR="00926D56" w:rsidRPr="009E506A" w:rsidRDefault="00926D56" w:rsidP="00D14F73">
            <w:pPr>
              <w:spacing w:before="240"/>
              <w:jc w:val="both"/>
              <w:rPr>
                <w:rFonts w:ascii="Calibri" w:hAnsi="Calibri"/>
                <w:sz w:val="20"/>
                <w:szCs w:val="20"/>
                <w:lang w:val="fr-FR"/>
              </w:rPr>
            </w:pPr>
            <w:r w:rsidRPr="009E506A">
              <w:rPr>
                <w:rFonts w:ascii="Calibri" w:hAnsi="Calibri"/>
                <w:sz w:val="20"/>
                <w:szCs w:val="20"/>
                <w:lang w:val="fr-FR"/>
              </w:rPr>
              <w:t>C’était une logique, d’une part de décentralisation du pouvoir de l’ONI démantelé et, d’autre part, de centralisation du pouvoir des ORMVA par rapport aux CMV sur le plan régional.</w:t>
            </w:r>
          </w:p>
        </w:tc>
      </w:tr>
      <w:tr w:rsidR="00926D56" w:rsidRPr="00921174" w:rsidTr="00D14F73">
        <w:tc>
          <w:tcPr>
            <w:tcW w:w="884" w:type="dxa"/>
            <w:shd w:val="clear" w:color="auto" w:fill="171717" w:themeFill="background2" w:themeFillShade="1A"/>
          </w:tcPr>
          <w:p w:rsidR="00926D56" w:rsidRPr="009E506A" w:rsidRDefault="00926D56" w:rsidP="00D14F73">
            <w:pPr>
              <w:spacing w:before="240"/>
              <w:jc w:val="both"/>
              <w:rPr>
                <w:rFonts w:ascii="Calibri" w:hAnsi="Calibri"/>
                <w:b/>
                <w:bCs/>
                <w:color w:val="FFFFFF" w:themeColor="background1"/>
                <w:sz w:val="20"/>
                <w:szCs w:val="20"/>
                <w:lang w:val="fr-FR"/>
              </w:rPr>
            </w:pPr>
          </w:p>
        </w:tc>
        <w:tc>
          <w:tcPr>
            <w:tcW w:w="7459" w:type="dxa"/>
            <w:shd w:val="clear" w:color="auto" w:fill="F2F2F2" w:themeFill="background1" w:themeFillShade="F2"/>
            <w:hideMark/>
          </w:tcPr>
          <w:p w:rsidR="00926D56" w:rsidRPr="009E506A" w:rsidRDefault="00926D56" w:rsidP="00D14F73">
            <w:pPr>
              <w:spacing w:before="240"/>
              <w:jc w:val="both"/>
              <w:rPr>
                <w:rFonts w:ascii="Calibri" w:hAnsi="Calibri"/>
                <w:b/>
                <w:bCs/>
                <w:sz w:val="20"/>
                <w:szCs w:val="20"/>
                <w:lang w:val="fr-FR"/>
              </w:rPr>
            </w:pPr>
            <w:r w:rsidRPr="009E506A">
              <w:rPr>
                <w:rFonts w:ascii="Calibri" w:hAnsi="Calibri"/>
                <w:sz w:val="20"/>
                <w:szCs w:val="20"/>
                <w:lang w:val="fr-FR"/>
              </w:rPr>
              <w:t xml:space="preserve">Cette tendance à la décentralisation était accompagnée au début des </w:t>
            </w:r>
            <w:r w:rsidRPr="009E506A">
              <w:rPr>
                <w:rFonts w:ascii="Calibri" w:hAnsi="Calibri"/>
                <w:b/>
                <w:bCs/>
                <w:sz w:val="20"/>
                <w:szCs w:val="20"/>
                <w:lang w:val="fr-FR"/>
              </w:rPr>
              <w:t>années soixante</w:t>
            </w:r>
            <w:r w:rsidRPr="009E506A">
              <w:rPr>
                <w:rFonts w:ascii="Calibri" w:hAnsi="Calibri"/>
                <w:sz w:val="20"/>
                <w:szCs w:val="20"/>
                <w:lang w:val="fr-FR"/>
              </w:rPr>
              <w:t xml:space="preserve"> par la politique des barrages, ce qui favorisait la mission des ORMVA : celle de </w:t>
            </w:r>
            <w:r w:rsidRPr="009E506A">
              <w:rPr>
                <w:rFonts w:ascii="Calibri" w:hAnsi="Calibri"/>
                <w:sz w:val="20"/>
                <w:szCs w:val="20"/>
                <w:u w:val="single"/>
                <w:lang w:val="fr-FR"/>
              </w:rPr>
              <w:t>la mise en valeur agricole</w:t>
            </w:r>
            <w:r w:rsidRPr="009E506A">
              <w:rPr>
                <w:rFonts w:ascii="Calibri" w:hAnsi="Calibri"/>
                <w:b/>
                <w:bCs/>
                <w:sz w:val="20"/>
                <w:szCs w:val="20"/>
                <w:lang w:val="fr-FR"/>
              </w:rPr>
              <w:t>.</w:t>
            </w:r>
          </w:p>
        </w:tc>
      </w:tr>
      <w:tr w:rsidR="00926D56" w:rsidRPr="00921174" w:rsidTr="00D14F73">
        <w:tc>
          <w:tcPr>
            <w:tcW w:w="884" w:type="dxa"/>
            <w:shd w:val="clear" w:color="auto" w:fill="171717" w:themeFill="background2" w:themeFillShade="1A"/>
            <w:hideMark/>
          </w:tcPr>
          <w:p w:rsidR="00926D56" w:rsidRPr="009E506A" w:rsidRDefault="00926D56" w:rsidP="00D14F73">
            <w:pPr>
              <w:spacing w:before="240"/>
              <w:jc w:val="both"/>
              <w:rPr>
                <w:rFonts w:ascii="Calibri" w:hAnsi="Calibri"/>
                <w:b/>
                <w:bCs/>
                <w:color w:val="FFFFFF" w:themeColor="background1"/>
                <w:sz w:val="20"/>
                <w:szCs w:val="20"/>
              </w:rPr>
            </w:pPr>
            <w:r w:rsidRPr="009E506A">
              <w:rPr>
                <w:rFonts w:ascii="Calibri" w:hAnsi="Calibri"/>
                <w:b/>
                <w:bCs/>
                <w:color w:val="FFFFFF" w:themeColor="background1"/>
                <w:sz w:val="20"/>
                <w:szCs w:val="20"/>
              </w:rPr>
              <w:t>1970</w:t>
            </w:r>
          </w:p>
        </w:tc>
        <w:tc>
          <w:tcPr>
            <w:tcW w:w="7459" w:type="dxa"/>
            <w:shd w:val="clear" w:color="auto" w:fill="F2F2F2" w:themeFill="background1" w:themeFillShade="F2"/>
            <w:hideMark/>
          </w:tcPr>
          <w:p w:rsidR="00926D56" w:rsidRPr="009E506A" w:rsidRDefault="00926D56" w:rsidP="00D14F73">
            <w:pPr>
              <w:spacing w:before="240"/>
              <w:jc w:val="both"/>
              <w:rPr>
                <w:rFonts w:ascii="Calibri" w:hAnsi="Calibri"/>
                <w:sz w:val="20"/>
                <w:szCs w:val="20"/>
                <w:lang w:val="fr-FR"/>
              </w:rPr>
            </w:pPr>
            <w:r w:rsidRPr="009E506A">
              <w:rPr>
                <w:rFonts w:ascii="Calibri" w:hAnsi="Calibri"/>
                <w:sz w:val="20"/>
                <w:szCs w:val="20"/>
                <w:lang w:val="fr-FR"/>
              </w:rPr>
              <w:t xml:space="preserve">L’Office Régional de la Mise en Valeur Agricole de Souss-Massa lui, est créé par le Décret royale n°2/70/157 du 6 </w:t>
            </w:r>
            <w:proofErr w:type="spellStart"/>
            <w:r w:rsidRPr="009E506A">
              <w:rPr>
                <w:rFonts w:ascii="Calibri" w:hAnsi="Calibri"/>
                <w:sz w:val="20"/>
                <w:szCs w:val="20"/>
                <w:lang w:val="fr-FR"/>
              </w:rPr>
              <w:t>Châbane</w:t>
            </w:r>
            <w:proofErr w:type="spellEnd"/>
            <w:r w:rsidRPr="009E506A">
              <w:rPr>
                <w:rFonts w:ascii="Calibri" w:hAnsi="Calibri"/>
                <w:sz w:val="20"/>
                <w:szCs w:val="20"/>
                <w:lang w:val="fr-FR"/>
              </w:rPr>
              <w:t xml:space="preserve"> 1370- </w:t>
            </w:r>
            <w:r w:rsidRPr="009E506A">
              <w:rPr>
                <w:rFonts w:ascii="Calibri" w:hAnsi="Calibri"/>
                <w:b/>
                <w:bCs/>
                <w:sz w:val="20"/>
                <w:szCs w:val="20"/>
                <w:lang w:val="fr-FR"/>
              </w:rPr>
              <w:t>08/10/1970</w:t>
            </w:r>
            <w:r w:rsidRPr="009E506A">
              <w:rPr>
                <w:rFonts w:ascii="Calibri" w:hAnsi="Calibri"/>
                <w:sz w:val="20"/>
                <w:szCs w:val="20"/>
                <w:lang w:val="fr-FR"/>
              </w:rPr>
              <w:t>.</w:t>
            </w:r>
          </w:p>
        </w:tc>
      </w:tr>
      <w:tr w:rsidR="00926D56" w:rsidRPr="00921174" w:rsidTr="00D14F73">
        <w:tc>
          <w:tcPr>
            <w:tcW w:w="884" w:type="dxa"/>
            <w:shd w:val="clear" w:color="auto" w:fill="171717" w:themeFill="background2" w:themeFillShade="1A"/>
          </w:tcPr>
          <w:p w:rsidR="00926D56" w:rsidRPr="009E506A" w:rsidRDefault="00926D56" w:rsidP="00D14F73">
            <w:pPr>
              <w:jc w:val="both"/>
              <w:rPr>
                <w:rFonts w:ascii="Calibri" w:hAnsi="Calibri"/>
                <w:b/>
                <w:bCs/>
                <w:sz w:val="20"/>
                <w:szCs w:val="20"/>
                <w:lang w:val="fr-FR"/>
              </w:rPr>
            </w:pPr>
          </w:p>
        </w:tc>
        <w:tc>
          <w:tcPr>
            <w:tcW w:w="7459" w:type="dxa"/>
            <w:shd w:val="clear" w:color="auto" w:fill="F2F2F2" w:themeFill="background1" w:themeFillShade="F2"/>
            <w:hideMark/>
          </w:tcPr>
          <w:p w:rsidR="00926D56" w:rsidRPr="009E506A" w:rsidRDefault="00926D56" w:rsidP="00D14F73">
            <w:pPr>
              <w:spacing w:before="240"/>
              <w:jc w:val="both"/>
              <w:rPr>
                <w:rFonts w:ascii="Calibri" w:hAnsi="Calibri"/>
                <w:sz w:val="20"/>
                <w:szCs w:val="20"/>
                <w:lang w:val="fr-FR"/>
              </w:rPr>
            </w:pPr>
            <w:r w:rsidRPr="009E506A">
              <w:rPr>
                <w:rFonts w:ascii="Calibri" w:hAnsi="Calibri"/>
                <w:sz w:val="20"/>
                <w:szCs w:val="20"/>
                <w:lang w:val="fr-FR"/>
              </w:rPr>
              <w:t>C’est un établissement public à caractère administratif placé sous la tutelle technique et administrative du Ministère de l’Agriculture et de la Pêche Maritime est doté de la personnalité civile et de l’autonomie financière.</w:t>
            </w:r>
          </w:p>
        </w:tc>
      </w:tr>
    </w:tbl>
    <w:p w:rsidR="00926D56" w:rsidRDefault="00926D56" w:rsidP="00926D56">
      <w:pPr>
        <w:pStyle w:val="ListParagraph"/>
        <w:ind w:left="2422"/>
        <w:outlineLvl w:val="2"/>
        <w:rPr>
          <w:rFonts w:ascii="Project Sans" w:hAnsi="Project Sans"/>
          <w:color w:val="A6A6A6" w:themeColor="background1" w:themeShade="A6"/>
          <w:sz w:val="40"/>
          <w:szCs w:val="40"/>
          <w:lang w:val="fr-FR"/>
        </w:rPr>
      </w:pPr>
    </w:p>
    <w:p w:rsidR="00926D56" w:rsidRPr="007A61AB" w:rsidRDefault="00926D56" w:rsidP="00926D56">
      <w:pPr>
        <w:pStyle w:val="Heading3"/>
        <w:rPr>
          <w:rFonts w:ascii="Project Sans" w:hAnsi="Project Sans"/>
          <w:b/>
          <w:bCs/>
          <w:color w:val="000000" w:themeColor="text1"/>
          <w:sz w:val="32"/>
          <w:szCs w:val="32"/>
          <w:u w:val="single"/>
        </w:rPr>
      </w:pPr>
      <w:bookmarkStart w:id="0" w:name="_Toc269376605"/>
      <w:bookmarkStart w:id="1" w:name="_Toc269728838"/>
      <w:bookmarkStart w:id="2" w:name="_Toc272078626"/>
      <w:bookmarkStart w:id="3" w:name="_Toc101516485"/>
      <w:r w:rsidRPr="007A61AB">
        <w:rPr>
          <w:rFonts w:ascii="Project Sans" w:hAnsi="Project Sans"/>
          <w:b/>
          <w:bCs/>
          <w:color w:val="000000" w:themeColor="text1"/>
          <w:sz w:val="32"/>
          <w:szCs w:val="32"/>
          <w:u w:val="single"/>
        </w:rPr>
        <w:t>Détails de l’organigramme</w:t>
      </w:r>
      <w:bookmarkEnd w:id="0"/>
      <w:bookmarkEnd w:id="1"/>
      <w:bookmarkEnd w:id="2"/>
      <w:bookmarkEnd w:id="3"/>
    </w:p>
    <w:p w:rsidR="00926D56" w:rsidRPr="007A61AB" w:rsidRDefault="00926D56" w:rsidP="00926D56">
      <w:pPr>
        <w:pStyle w:val="Heading4"/>
        <w:rPr>
          <w:b/>
          <w:bCs/>
          <w:color w:val="3B3838" w:themeColor="background2" w:themeShade="40"/>
          <w:sz w:val="28"/>
          <w:szCs w:val="28"/>
          <w:lang w:val="fr-FR"/>
        </w:rPr>
      </w:pPr>
      <w:bookmarkStart w:id="4" w:name="_Toc269376606"/>
      <w:bookmarkStart w:id="5" w:name="_Toc269728839"/>
      <w:r w:rsidRPr="007A61AB">
        <w:rPr>
          <w:b/>
          <w:bCs/>
          <w:color w:val="3B3838" w:themeColor="background2" w:themeShade="40"/>
          <w:sz w:val="28"/>
          <w:szCs w:val="28"/>
          <w:lang w:val="fr-FR"/>
        </w:rPr>
        <w:t>Conseil de l’administration</w:t>
      </w:r>
      <w:bookmarkEnd w:id="4"/>
      <w:bookmarkEnd w:id="5"/>
    </w:p>
    <w:p w:rsidR="00926D56" w:rsidRPr="007A61AB" w:rsidRDefault="00926D56" w:rsidP="00926D56">
      <w:pPr>
        <w:rPr>
          <w:rFonts w:ascii="Project Sans" w:hAnsi="Project Sans" w:cs="Times New Roman"/>
          <w:color w:val="000000" w:themeColor="text1"/>
          <w:sz w:val="24"/>
          <w:szCs w:val="24"/>
          <w:lang w:val="fr-FR"/>
        </w:rPr>
      </w:pPr>
      <w:r w:rsidRPr="007A61AB">
        <w:rPr>
          <w:rFonts w:ascii="Project Sans" w:hAnsi="Project Sans"/>
          <w:color w:val="000000" w:themeColor="text1"/>
          <w:sz w:val="24"/>
          <w:szCs w:val="24"/>
          <w:lang w:val="fr-FR"/>
        </w:rPr>
        <w:t>Il se compose de</w:t>
      </w:r>
      <w:r w:rsidRPr="007A61AB">
        <w:rPr>
          <w:rFonts w:ascii="Cambria" w:hAnsi="Cambria" w:cs="Cambria"/>
          <w:color w:val="000000" w:themeColor="text1"/>
          <w:sz w:val="24"/>
          <w:szCs w:val="24"/>
          <w:lang w:val="fr-FR"/>
        </w:rPr>
        <w:t> </w:t>
      </w:r>
      <w:r w:rsidRPr="007A61AB">
        <w:rPr>
          <w:rFonts w:ascii="Project Sans" w:hAnsi="Project Sans"/>
          <w:color w:val="000000" w:themeColor="text1"/>
          <w:sz w:val="24"/>
          <w:szCs w:val="24"/>
          <w:lang w:val="fr-FR"/>
        </w:rPr>
        <w:t>:</w:t>
      </w:r>
    </w:p>
    <w:p w:rsidR="00926D56" w:rsidRPr="007A61AB" w:rsidRDefault="00926D56" w:rsidP="00926D56">
      <w:pPr>
        <w:pStyle w:val="ListParagraph"/>
        <w:numPr>
          <w:ilvl w:val="0"/>
          <w:numId w:val="2"/>
        </w:numPr>
        <w:rPr>
          <w:rFonts w:ascii="Project Sans" w:hAnsi="Project Sans"/>
          <w:color w:val="000000" w:themeColor="text1"/>
          <w:sz w:val="24"/>
          <w:szCs w:val="24"/>
          <w:lang w:val="fr-FR"/>
        </w:rPr>
      </w:pPr>
      <w:r w:rsidRPr="007A61AB">
        <w:rPr>
          <w:rFonts w:ascii="Project Sans" w:hAnsi="Project Sans"/>
          <w:color w:val="000000" w:themeColor="text1"/>
          <w:sz w:val="24"/>
          <w:szCs w:val="24"/>
          <w:lang w:val="fr-FR"/>
        </w:rPr>
        <w:t>Un représentant du président du comité économique interministériel</w:t>
      </w:r>
    </w:p>
    <w:p w:rsidR="00926D56" w:rsidRPr="007A61AB" w:rsidRDefault="00926D56" w:rsidP="00926D56">
      <w:pPr>
        <w:pStyle w:val="ListParagraph"/>
        <w:numPr>
          <w:ilvl w:val="0"/>
          <w:numId w:val="2"/>
        </w:numPr>
        <w:rPr>
          <w:rFonts w:ascii="Project Sans" w:hAnsi="Project Sans"/>
          <w:color w:val="000000" w:themeColor="text1"/>
          <w:sz w:val="24"/>
          <w:szCs w:val="24"/>
          <w:lang w:val="fr-FR"/>
        </w:rPr>
      </w:pPr>
      <w:r w:rsidRPr="007A61AB">
        <w:rPr>
          <w:rFonts w:ascii="Project Sans" w:hAnsi="Project Sans"/>
          <w:color w:val="000000" w:themeColor="text1"/>
          <w:sz w:val="24"/>
          <w:szCs w:val="24"/>
          <w:lang w:val="fr-FR"/>
        </w:rPr>
        <w:t>Le Gouverneur de la wilaya d’Agadir</w:t>
      </w:r>
    </w:p>
    <w:p w:rsidR="00926D56" w:rsidRPr="007A61AB" w:rsidRDefault="00926D56" w:rsidP="00926D56">
      <w:pPr>
        <w:pStyle w:val="ListParagraph"/>
        <w:numPr>
          <w:ilvl w:val="0"/>
          <w:numId w:val="2"/>
        </w:numPr>
        <w:rPr>
          <w:rFonts w:ascii="Project Sans" w:hAnsi="Project Sans"/>
          <w:color w:val="000000" w:themeColor="text1"/>
          <w:sz w:val="24"/>
          <w:szCs w:val="24"/>
          <w:lang w:val="fr-FR"/>
        </w:rPr>
      </w:pPr>
      <w:r w:rsidRPr="007A61AB">
        <w:rPr>
          <w:rFonts w:ascii="Project Sans" w:hAnsi="Project Sans"/>
          <w:color w:val="000000" w:themeColor="text1"/>
          <w:sz w:val="24"/>
          <w:szCs w:val="24"/>
          <w:lang w:val="fr-FR"/>
        </w:rPr>
        <w:t>Le Président de la chambre d’agriculture d’Agadir</w:t>
      </w:r>
    </w:p>
    <w:p w:rsidR="00926D56" w:rsidRPr="007A61AB" w:rsidRDefault="00926D56" w:rsidP="00926D56">
      <w:pPr>
        <w:pStyle w:val="ListParagraph"/>
        <w:numPr>
          <w:ilvl w:val="0"/>
          <w:numId w:val="2"/>
        </w:numPr>
        <w:rPr>
          <w:rFonts w:ascii="Project Sans" w:hAnsi="Project Sans"/>
          <w:color w:val="000000" w:themeColor="text1"/>
          <w:sz w:val="24"/>
          <w:szCs w:val="24"/>
          <w:lang w:val="fr-FR"/>
        </w:rPr>
      </w:pPr>
      <w:r w:rsidRPr="007A61AB">
        <w:rPr>
          <w:rFonts w:ascii="Project Sans" w:hAnsi="Project Sans"/>
          <w:color w:val="000000" w:themeColor="text1"/>
          <w:sz w:val="24"/>
          <w:szCs w:val="24"/>
          <w:lang w:val="fr-FR"/>
        </w:rPr>
        <w:t xml:space="preserve">Le président de l’assemblé de la wilaya d’Agadir </w:t>
      </w:r>
    </w:p>
    <w:p w:rsidR="00926D56" w:rsidRPr="007A61AB" w:rsidRDefault="00926D56" w:rsidP="00926D56">
      <w:pPr>
        <w:pStyle w:val="ListParagraph"/>
        <w:numPr>
          <w:ilvl w:val="0"/>
          <w:numId w:val="2"/>
        </w:numPr>
        <w:rPr>
          <w:rFonts w:ascii="Project Sans" w:hAnsi="Project Sans"/>
          <w:color w:val="000000" w:themeColor="text1"/>
          <w:sz w:val="24"/>
          <w:szCs w:val="24"/>
          <w:lang w:val="fr-FR"/>
        </w:rPr>
      </w:pPr>
      <w:r w:rsidRPr="007A61AB">
        <w:rPr>
          <w:rFonts w:ascii="Project Sans" w:hAnsi="Project Sans"/>
          <w:color w:val="000000" w:themeColor="text1"/>
          <w:sz w:val="24"/>
          <w:szCs w:val="24"/>
          <w:lang w:val="fr-FR"/>
        </w:rPr>
        <w:t xml:space="preserve">Le Directeur de l’office </w:t>
      </w:r>
    </w:p>
    <w:p w:rsidR="00926D56" w:rsidRPr="007A61AB" w:rsidRDefault="00926D56" w:rsidP="00926D56">
      <w:pPr>
        <w:pStyle w:val="ListParagraph"/>
        <w:numPr>
          <w:ilvl w:val="0"/>
          <w:numId w:val="2"/>
        </w:numPr>
        <w:rPr>
          <w:rFonts w:ascii="Project Sans" w:hAnsi="Project Sans"/>
          <w:color w:val="000000" w:themeColor="text1"/>
          <w:sz w:val="24"/>
          <w:szCs w:val="24"/>
          <w:lang w:val="fr-FR"/>
        </w:rPr>
      </w:pPr>
      <w:r w:rsidRPr="007A61AB">
        <w:rPr>
          <w:rFonts w:ascii="Project Sans" w:hAnsi="Project Sans"/>
          <w:color w:val="000000" w:themeColor="text1"/>
          <w:sz w:val="24"/>
          <w:szCs w:val="24"/>
          <w:lang w:val="fr-FR"/>
        </w:rPr>
        <w:t>Un Magistral du tribunal désigné par le Ministère de la Justice</w:t>
      </w:r>
    </w:p>
    <w:p w:rsidR="00926D56" w:rsidRPr="007A61AB" w:rsidRDefault="00926D56" w:rsidP="00926D56">
      <w:pPr>
        <w:pStyle w:val="ListParagraph"/>
        <w:numPr>
          <w:ilvl w:val="0"/>
          <w:numId w:val="2"/>
        </w:numPr>
        <w:rPr>
          <w:rFonts w:ascii="Project Sans" w:hAnsi="Project Sans"/>
          <w:color w:val="000000" w:themeColor="text1"/>
          <w:sz w:val="28"/>
          <w:szCs w:val="28"/>
          <w:lang w:val="fr-FR"/>
        </w:rPr>
      </w:pPr>
      <w:r w:rsidRPr="007A61AB">
        <w:rPr>
          <w:rFonts w:ascii="Project Sans" w:hAnsi="Project Sans"/>
          <w:color w:val="000000" w:themeColor="text1"/>
          <w:sz w:val="24"/>
          <w:szCs w:val="24"/>
          <w:lang w:val="fr-FR"/>
        </w:rPr>
        <w:lastRenderedPageBreak/>
        <w:t>Les autorités chargées de la Promotion Nationale</w:t>
      </w:r>
    </w:p>
    <w:p w:rsidR="00926D56" w:rsidRPr="007A61AB" w:rsidRDefault="00926D56" w:rsidP="00926D56">
      <w:pPr>
        <w:rPr>
          <w:lang w:val="fr-FR"/>
        </w:rPr>
      </w:pPr>
    </w:p>
    <w:p w:rsidR="00926D56" w:rsidRPr="007A61AB" w:rsidRDefault="00926D56" w:rsidP="00926D56">
      <w:pPr>
        <w:pStyle w:val="Heading4"/>
        <w:rPr>
          <w:b/>
          <w:bCs/>
          <w:color w:val="3B3838" w:themeColor="background2" w:themeShade="40"/>
          <w:sz w:val="28"/>
          <w:szCs w:val="28"/>
          <w:lang w:val="fr-FR"/>
        </w:rPr>
      </w:pPr>
      <w:bookmarkStart w:id="6" w:name="_Toc269376607"/>
      <w:bookmarkStart w:id="7" w:name="_Toc269728840"/>
      <w:r w:rsidRPr="007A61AB">
        <w:rPr>
          <w:b/>
          <w:bCs/>
          <w:color w:val="3B3838" w:themeColor="background2" w:themeShade="40"/>
          <w:sz w:val="28"/>
          <w:szCs w:val="28"/>
          <w:lang w:val="fr-FR"/>
        </w:rPr>
        <w:t>Comité technique</w:t>
      </w:r>
      <w:bookmarkEnd w:id="6"/>
      <w:bookmarkEnd w:id="7"/>
    </w:p>
    <w:p w:rsidR="00926D56" w:rsidRPr="007A61AB" w:rsidRDefault="00926D56" w:rsidP="00926D56">
      <w:pPr>
        <w:jc w:val="both"/>
        <w:rPr>
          <w:rFonts w:ascii="Project Sans" w:hAnsi="Project Sans" w:cs="Times New Roman"/>
          <w:sz w:val="24"/>
          <w:szCs w:val="24"/>
          <w:lang w:val="fr-FR"/>
        </w:rPr>
      </w:pPr>
      <w:r w:rsidRPr="007A61AB">
        <w:rPr>
          <w:rFonts w:ascii="Project Sans" w:hAnsi="Project Sans"/>
          <w:sz w:val="24"/>
          <w:szCs w:val="24"/>
          <w:lang w:val="fr-FR"/>
        </w:rPr>
        <w:t>Le comité technique est un comité permanent chargé de suivre l’exécution des décisions prises au cours des réunions du conseil d’administration.</w:t>
      </w:r>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t>Il comprend les organes suivants</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Le Gouverneur de la province</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Le Directeur de l’office</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Le Directeur principal des travaux publics, de la formation des cadres et de la formation professionnelle</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Le Directeur Régional de l’Hydraulique du Souss-Massa</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Des représentants du ministère des finances, auprès du premier ministre chargé du plan provincial d’Agadir</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Un membre de l’assemblée provinciale d’Agadir</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Les présidents des conseils communaux concernés</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Les autorités locales, chefs des cercles et caïds concernés</w:t>
      </w:r>
    </w:p>
    <w:p w:rsidR="00926D56" w:rsidRPr="007A61AB" w:rsidRDefault="00926D56" w:rsidP="00926D56">
      <w:pPr>
        <w:pStyle w:val="ListParagraph"/>
        <w:numPr>
          <w:ilvl w:val="0"/>
          <w:numId w:val="3"/>
        </w:numPr>
        <w:rPr>
          <w:rFonts w:ascii="Project Sans" w:hAnsi="Project Sans"/>
          <w:sz w:val="24"/>
          <w:szCs w:val="24"/>
          <w:lang w:val="fr-FR"/>
        </w:rPr>
      </w:pPr>
      <w:r w:rsidRPr="007A61AB">
        <w:rPr>
          <w:rFonts w:ascii="Project Sans" w:hAnsi="Project Sans"/>
          <w:sz w:val="24"/>
          <w:szCs w:val="24"/>
          <w:lang w:val="fr-FR"/>
        </w:rPr>
        <w:t>Un membre de la chambre de l’agriculture</w:t>
      </w:r>
    </w:p>
    <w:p w:rsidR="00926D56" w:rsidRPr="007A61AB" w:rsidRDefault="00926D56" w:rsidP="00926D56">
      <w:pPr>
        <w:pStyle w:val="Heading4"/>
        <w:rPr>
          <w:rFonts w:ascii="Project Sans" w:hAnsi="Project Sans"/>
          <w:lang w:val="fr-FR"/>
        </w:rPr>
      </w:pPr>
      <w:bookmarkStart w:id="8" w:name="_Toc269376608"/>
      <w:bookmarkStart w:id="9" w:name="_Toc269728841"/>
      <w:r w:rsidRPr="007A61AB">
        <w:rPr>
          <w:rFonts w:ascii="Project Sans" w:hAnsi="Project Sans"/>
          <w:color w:val="3B3838" w:themeColor="background2" w:themeShade="40"/>
          <w:sz w:val="28"/>
          <w:szCs w:val="28"/>
          <w:lang w:val="fr-FR"/>
        </w:rPr>
        <w:t>Directeur</w:t>
      </w:r>
      <w:bookmarkEnd w:id="8"/>
      <w:bookmarkEnd w:id="9"/>
    </w:p>
    <w:p w:rsidR="00926D56" w:rsidRPr="007A61AB" w:rsidRDefault="00926D56" w:rsidP="00926D56">
      <w:pPr>
        <w:pStyle w:val="ListParagraph"/>
        <w:numPr>
          <w:ilvl w:val="0"/>
          <w:numId w:val="4"/>
        </w:numPr>
        <w:rPr>
          <w:rFonts w:ascii="Project Sans" w:hAnsi="Project Sans" w:cs="Times New Roman"/>
          <w:sz w:val="24"/>
          <w:szCs w:val="24"/>
          <w:lang w:val="fr-FR"/>
        </w:rPr>
      </w:pPr>
      <w:r w:rsidRPr="007A61AB">
        <w:rPr>
          <w:rFonts w:ascii="Project Sans" w:hAnsi="Project Sans"/>
          <w:sz w:val="24"/>
          <w:szCs w:val="24"/>
          <w:lang w:val="fr-FR"/>
        </w:rPr>
        <w:t>Il exécute les décisions arrêtées par le CA et assure la gestion des services de l’office</w:t>
      </w:r>
    </w:p>
    <w:p w:rsidR="00926D56" w:rsidRPr="007A61AB" w:rsidRDefault="00926D56" w:rsidP="00926D56">
      <w:pPr>
        <w:pStyle w:val="ListParagraph"/>
        <w:numPr>
          <w:ilvl w:val="0"/>
          <w:numId w:val="4"/>
        </w:numPr>
        <w:rPr>
          <w:rFonts w:ascii="Project Sans" w:hAnsi="Project Sans"/>
          <w:sz w:val="24"/>
          <w:szCs w:val="24"/>
          <w:lang w:val="fr-FR"/>
        </w:rPr>
      </w:pPr>
      <w:r w:rsidRPr="007A61AB">
        <w:rPr>
          <w:rFonts w:ascii="Project Sans" w:hAnsi="Project Sans"/>
          <w:sz w:val="24"/>
          <w:szCs w:val="24"/>
          <w:lang w:val="fr-FR"/>
        </w:rPr>
        <w:t>Il représente l’Office vis-à-vis de l’Etat, des administrations publiques et privées</w:t>
      </w:r>
    </w:p>
    <w:p w:rsidR="00926D56" w:rsidRPr="007A61AB" w:rsidRDefault="00926D56" w:rsidP="00926D56">
      <w:pPr>
        <w:pStyle w:val="ListParagraph"/>
        <w:numPr>
          <w:ilvl w:val="0"/>
          <w:numId w:val="4"/>
        </w:numPr>
        <w:rPr>
          <w:rFonts w:ascii="Project Sans" w:hAnsi="Project Sans"/>
          <w:sz w:val="24"/>
          <w:szCs w:val="24"/>
          <w:lang w:val="fr-FR"/>
        </w:rPr>
      </w:pPr>
      <w:r w:rsidRPr="007A61AB">
        <w:rPr>
          <w:rFonts w:ascii="Project Sans" w:hAnsi="Project Sans"/>
          <w:sz w:val="24"/>
          <w:szCs w:val="24"/>
          <w:lang w:val="fr-FR"/>
        </w:rPr>
        <w:t>Il accomplit, ou autorise tous les actes en opération relatifs à son objet</w:t>
      </w:r>
    </w:p>
    <w:p w:rsidR="00926D56" w:rsidRPr="007A61AB" w:rsidRDefault="00926D56" w:rsidP="00926D56">
      <w:pPr>
        <w:pStyle w:val="ListParagraph"/>
        <w:numPr>
          <w:ilvl w:val="0"/>
          <w:numId w:val="4"/>
        </w:numPr>
        <w:rPr>
          <w:rFonts w:ascii="Project Sans" w:hAnsi="Project Sans"/>
          <w:sz w:val="24"/>
          <w:szCs w:val="24"/>
          <w:lang w:val="fr-FR"/>
        </w:rPr>
      </w:pPr>
      <w:r w:rsidRPr="007A61AB">
        <w:rPr>
          <w:rFonts w:ascii="Project Sans" w:hAnsi="Project Sans"/>
          <w:sz w:val="24"/>
          <w:szCs w:val="24"/>
          <w:lang w:val="fr-FR"/>
        </w:rPr>
        <w:t xml:space="preserve">En matière de gestion financière et comptable, les attributions du Directeur sont </w:t>
      </w:r>
      <w:proofErr w:type="gramStart"/>
      <w:r w:rsidRPr="007A61AB">
        <w:rPr>
          <w:rFonts w:ascii="Project Sans" w:hAnsi="Project Sans"/>
          <w:sz w:val="24"/>
          <w:szCs w:val="24"/>
          <w:lang w:val="fr-FR"/>
        </w:rPr>
        <w:t>fixés</w:t>
      </w:r>
      <w:proofErr w:type="gramEnd"/>
      <w:r w:rsidRPr="007A61AB">
        <w:rPr>
          <w:rFonts w:ascii="Project Sans" w:hAnsi="Project Sans"/>
          <w:sz w:val="24"/>
          <w:szCs w:val="24"/>
          <w:lang w:val="fr-FR"/>
        </w:rPr>
        <w:t xml:space="preserve"> par un ensemble d’arrêtés conjoints du Ministère de l’Agriculture et de la Pêche Maritime et du ministère de l’économie et des finances, il est autorisé à engager les dépenses par acte, contrat ou marché dans les limites fixées par la délégation et à constater les recettes de l’office</w:t>
      </w:r>
    </w:p>
    <w:p w:rsidR="00926D56" w:rsidRPr="007A61AB" w:rsidRDefault="00926D56" w:rsidP="00926D56">
      <w:pPr>
        <w:pStyle w:val="ListParagraph"/>
        <w:numPr>
          <w:ilvl w:val="0"/>
          <w:numId w:val="4"/>
        </w:numPr>
        <w:rPr>
          <w:rFonts w:ascii="Project Sans" w:hAnsi="Project Sans"/>
          <w:sz w:val="24"/>
          <w:szCs w:val="24"/>
          <w:lang w:val="fr-FR"/>
        </w:rPr>
      </w:pPr>
      <w:r w:rsidRPr="007A61AB">
        <w:rPr>
          <w:rFonts w:ascii="Project Sans" w:hAnsi="Project Sans"/>
          <w:sz w:val="24"/>
          <w:szCs w:val="24"/>
          <w:lang w:val="fr-FR"/>
        </w:rPr>
        <w:t>Le directeur peut déléguer une partie de ses attributions aux responsables des services actifs de l’office.</w:t>
      </w:r>
    </w:p>
    <w:p w:rsidR="00926D56" w:rsidRPr="007A61AB" w:rsidRDefault="00926D56" w:rsidP="00926D56">
      <w:pPr>
        <w:pStyle w:val="Heading4"/>
        <w:tabs>
          <w:tab w:val="left" w:pos="3705"/>
        </w:tabs>
        <w:rPr>
          <w:lang w:val="fr-FR"/>
        </w:rPr>
      </w:pPr>
    </w:p>
    <w:p w:rsidR="00926D56" w:rsidRPr="007A61AB" w:rsidRDefault="00926D56" w:rsidP="00926D56">
      <w:pPr>
        <w:pStyle w:val="Heading4"/>
        <w:rPr>
          <w:rFonts w:ascii="Project Sans" w:hAnsi="Project Sans"/>
          <w:b/>
          <w:bCs/>
          <w:lang w:val="fr-FR"/>
        </w:rPr>
      </w:pPr>
      <w:r w:rsidRPr="007A61AB">
        <w:rPr>
          <w:lang w:val="fr-FR"/>
        </w:rPr>
        <w:br w:type="page"/>
      </w:r>
      <w:bookmarkStart w:id="10" w:name="_Toc269376609"/>
      <w:bookmarkStart w:id="11" w:name="_Toc269728842"/>
      <w:r w:rsidRPr="007A61AB">
        <w:rPr>
          <w:rFonts w:ascii="Project Sans" w:hAnsi="Project Sans"/>
          <w:b/>
          <w:bCs/>
          <w:color w:val="3B3838" w:themeColor="background2" w:themeShade="40"/>
          <w:sz w:val="28"/>
          <w:szCs w:val="28"/>
          <w:lang w:val="fr-FR"/>
        </w:rPr>
        <w:lastRenderedPageBreak/>
        <w:t>Services du siège</w:t>
      </w:r>
      <w:bookmarkEnd w:id="10"/>
      <w:bookmarkEnd w:id="11"/>
    </w:p>
    <w:p w:rsidR="00926D56" w:rsidRPr="007A61AB" w:rsidRDefault="00926D56" w:rsidP="00926D56">
      <w:pPr>
        <w:jc w:val="both"/>
        <w:rPr>
          <w:rFonts w:ascii="Project Sans" w:hAnsi="Project Sans" w:cs="Times New Roman"/>
          <w:sz w:val="24"/>
          <w:szCs w:val="24"/>
          <w:lang w:val="fr-FR"/>
        </w:rPr>
      </w:pPr>
      <w:r w:rsidRPr="007A61AB">
        <w:rPr>
          <w:rFonts w:ascii="Project Sans" w:hAnsi="Project Sans"/>
          <w:sz w:val="24"/>
          <w:szCs w:val="24"/>
          <w:lang w:val="fr-FR"/>
        </w:rPr>
        <w:t>Les services du siège sont de nombre de huit. On peut les classer en deux grandes catégories</w:t>
      </w:r>
      <w:r w:rsidRPr="007A61AB">
        <w:rPr>
          <w:rFonts w:ascii="Cambria" w:hAnsi="Cambria" w:cs="Cambria"/>
          <w:sz w:val="24"/>
          <w:szCs w:val="24"/>
          <w:lang w:val="fr-FR"/>
        </w:rPr>
        <w:t> </w:t>
      </w:r>
      <w:r w:rsidRPr="007A61AB">
        <w:rPr>
          <w:rFonts w:ascii="Project Sans" w:hAnsi="Project Sans"/>
          <w:sz w:val="24"/>
          <w:szCs w:val="24"/>
          <w:lang w:val="fr-FR"/>
        </w:rPr>
        <w:t>: les services op</w:t>
      </w:r>
      <w:r w:rsidRPr="007A61AB">
        <w:rPr>
          <w:rFonts w:ascii="Project Sans" w:hAnsi="Project Sans" w:cs="Project Sans"/>
          <w:sz w:val="24"/>
          <w:szCs w:val="24"/>
          <w:lang w:val="fr-FR"/>
        </w:rPr>
        <w:t>é</w:t>
      </w:r>
      <w:r w:rsidRPr="007A61AB">
        <w:rPr>
          <w:rFonts w:ascii="Project Sans" w:hAnsi="Project Sans"/>
          <w:sz w:val="24"/>
          <w:szCs w:val="24"/>
          <w:lang w:val="fr-FR"/>
        </w:rPr>
        <w:t>rationnels/techniques et les services fonctionnels/administratifs.</w:t>
      </w:r>
    </w:p>
    <w:p w:rsidR="00926D56" w:rsidRPr="007A61AB" w:rsidRDefault="00926D56" w:rsidP="00926D56">
      <w:pPr>
        <w:rPr>
          <w:rFonts w:ascii="Project Sans" w:hAnsi="Project Sans"/>
          <w:color w:val="3B3838" w:themeColor="background2" w:themeShade="40"/>
          <w:sz w:val="24"/>
          <w:szCs w:val="24"/>
          <w:lang w:val="fr-FR"/>
        </w:rPr>
      </w:pPr>
      <w:r w:rsidRPr="007A61AB">
        <w:rPr>
          <w:rFonts w:ascii="Project Sans" w:hAnsi="Project Sans"/>
          <w:color w:val="3B3838" w:themeColor="background2" w:themeShade="40"/>
          <w:sz w:val="24"/>
          <w:szCs w:val="24"/>
          <w:lang w:val="fr-FR"/>
        </w:rPr>
        <w:t>Les services opérationnels</w:t>
      </w:r>
    </w:p>
    <w:p w:rsidR="00926D56" w:rsidRPr="007A61AB" w:rsidRDefault="00926D56" w:rsidP="00926D56">
      <w:pPr>
        <w:pStyle w:val="ListParagraph"/>
        <w:numPr>
          <w:ilvl w:val="0"/>
          <w:numId w:val="5"/>
        </w:numPr>
        <w:rPr>
          <w:rFonts w:ascii="Project Sans" w:hAnsi="Project Sans"/>
          <w:sz w:val="24"/>
          <w:szCs w:val="24"/>
          <w:lang w:val="fr-FR"/>
        </w:rPr>
      </w:pPr>
      <w:bookmarkStart w:id="12" w:name="_Toc269728843"/>
      <w:bookmarkStart w:id="13" w:name="_Toc271518496"/>
      <w:r w:rsidRPr="007A61AB">
        <w:rPr>
          <w:rFonts w:ascii="Project Sans" w:hAnsi="Project Sans"/>
          <w:sz w:val="24"/>
          <w:szCs w:val="24"/>
          <w:lang w:val="fr-FR"/>
        </w:rPr>
        <w:t>Service d’élevage</w:t>
      </w:r>
      <w:r w:rsidRPr="007A61AB">
        <w:rPr>
          <w:rFonts w:ascii="Cambria" w:hAnsi="Cambria" w:cs="Cambria"/>
          <w:sz w:val="24"/>
          <w:szCs w:val="24"/>
          <w:lang w:val="fr-FR"/>
        </w:rPr>
        <w:t> </w:t>
      </w:r>
      <w:r w:rsidRPr="007A61AB">
        <w:rPr>
          <w:rFonts w:ascii="Project Sans" w:hAnsi="Project Sans"/>
          <w:sz w:val="24"/>
          <w:szCs w:val="24"/>
          <w:lang w:val="fr-FR"/>
        </w:rPr>
        <w:t>:</w:t>
      </w:r>
      <w:bookmarkEnd w:id="12"/>
      <w:bookmarkEnd w:id="13"/>
    </w:p>
    <w:p w:rsidR="00926D56" w:rsidRPr="007A61AB" w:rsidRDefault="00926D56" w:rsidP="00926D56">
      <w:pPr>
        <w:jc w:val="both"/>
        <w:rPr>
          <w:rFonts w:ascii="Project Sans" w:hAnsi="Project Sans" w:cs="Times New Roman"/>
          <w:sz w:val="24"/>
          <w:szCs w:val="24"/>
          <w:lang w:val="fr-FR"/>
        </w:rPr>
      </w:pPr>
      <w:r w:rsidRPr="007A61AB">
        <w:rPr>
          <w:rFonts w:ascii="Project Sans" w:hAnsi="Project Sans"/>
          <w:sz w:val="24"/>
          <w:szCs w:val="24"/>
          <w:lang w:val="fr-FR"/>
        </w:rPr>
        <w:t>Sa mission est l’exécution des projets des programmes retenus en matière de production et de santé animale. Il met aussi en œuvre les moyens techniques, moyens et matériels pour accroître les productions des viandes, laits, et autres produits d’élevage dans la zone d’action de l’ORMVA/SM, et d’assurer les meilleures conditions de commercialisation. Il comprend</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pStyle w:val="ListParagraph"/>
        <w:numPr>
          <w:ilvl w:val="0"/>
          <w:numId w:val="6"/>
        </w:numPr>
        <w:rPr>
          <w:rFonts w:ascii="Project Sans" w:hAnsi="Project Sans"/>
          <w:sz w:val="24"/>
          <w:szCs w:val="24"/>
          <w:lang w:val="fr-FR"/>
        </w:rPr>
      </w:pPr>
      <w:bookmarkStart w:id="14" w:name="_Toc269728844"/>
      <w:bookmarkStart w:id="15" w:name="_Toc271518497"/>
      <w:r w:rsidRPr="007A61AB">
        <w:rPr>
          <w:rFonts w:ascii="Project Sans" w:hAnsi="Project Sans"/>
          <w:sz w:val="24"/>
          <w:szCs w:val="24"/>
          <w:lang w:val="fr-FR"/>
        </w:rPr>
        <w:t>Un bureau de production animale</w:t>
      </w:r>
      <w:bookmarkEnd w:id="14"/>
      <w:bookmarkEnd w:id="15"/>
    </w:p>
    <w:p w:rsidR="00926D56" w:rsidRPr="007A61AB" w:rsidRDefault="00926D56" w:rsidP="00926D56">
      <w:pPr>
        <w:pStyle w:val="ListParagraph"/>
        <w:numPr>
          <w:ilvl w:val="0"/>
          <w:numId w:val="6"/>
        </w:numPr>
        <w:rPr>
          <w:rFonts w:ascii="Project Sans" w:hAnsi="Project Sans"/>
          <w:sz w:val="24"/>
          <w:szCs w:val="24"/>
          <w:lang w:val="fr-FR"/>
        </w:rPr>
      </w:pPr>
      <w:bookmarkStart w:id="16" w:name="_Toc269728845"/>
      <w:bookmarkStart w:id="17" w:name="_Toc271518498"/>
      <w:r w:rsidRPr="007A61AB">
        <w:rPr>
          <w:rFonts w:ascii="Project Sans" w:hAnsi="Project Sans"/>
          <w:sz w:val="24"/>
          <w:szCs w:val="24"/>
          <w:lang w:val="fr-FR"/>
        </w:rPr>
        <w:t>Un bureau de santé animale</w:t>
      </w:r>
      <w:bookmarkEnd w:id="16"/>
      <w:bookmarkEnd w:id="17"/>
    </w:p>
    <w:p w:rsidR="00926D56" w:rsidRPr="007A61AB" w:rsidRDefault="00926D56" w:rsidP="00926D56">
      <w:pPr>
        <w:rPr>
          <w:rFonts w:ascii="Project Sans" w:hAnsi="Project Sans"/>
          <w:sz w:val="24"/>
          <w:szCs w:val="24"/>
          <w:lang w:val="fr-FR"/>
        </w:rPr>
      </w:pPr>
      <w:bookmarkStart w:id="18" w:name="_Toc269728846"/>
      <w:bookmarkStart w:id="19" w:name="_Toc271518499"/>
    </w:p>
    <w:p w:rsidR="00926D56" w:rsidRPr="007A61AB" w:rsidRDefault="00926D56" w:rsidP="00926D56">
      <w:pPr>
        <w:pStyle w:val="ListParagraph"/>
        <w:numPr>
          <w:ilvl w:val="0"/>
          <w:numId w:val="5"/>
        </w:numPr>
        <w:rPr>
          <w:rFonts w:ascii="Project Sans" w:hAnsi="Project Sans"/>
          <w:sz w:val="24"/>
          <w:szCs w:val="24"/>
          <w:lang w:val="fr-FR"/>
        </w:rPr>
      </w:pPr>
      <w:r w:rsidRPr="007A61AB">
        <w:rPr>
          <w:rFonts w:ascii="Project Sans" w:hAnsi="Project Sans"/>
          <w:sz w:val="24"/>
          <w:szCs w:val="24"/>
          <w:lang w:val="fr-FR"/>
        </w:rPr>
        <w:t>Service de la Vulgarisation et de l’Organisation Professionnelle</w:t>
      </w:r>
      <w:r w:rsidRPr="007A61AB">
        <w:rPr>
          <w:rFonts w:ascii="Cambria" w:hAnsi="Cambria" w:cs="Cambria"/>
          <w:sz w:val="24"/>
          <w:szCs w:val="24"/>
          <w:lang w:val="fr-FR"/>
        </w:rPr>
        <w:t> </w:t>
      </w:r>
      <w:r w:rsidRPr="007A61AB">
        <w:rPr>
          <w:rFonts w:ascii="Project Sans" w:hAnsi="Project Sans"/>
          <w:sz w:val="24"/>
          <w:szCs w:val="24"/>
          <w:lang w:val="fr-FR"/>
        </w:rPr>
        <w:t>(SVOP):</w:t>
      </w:r>
      <w:bookmarkEnd w:id="18"/>
      <w:bookmarkEnd w:id="19"/>
    </w:p>
    <w:p w:rsidR="00926D56" w:rsidRPr="007A61AB" w:rsidRDefault="00926D56" w:rsidP="00926D56">
      <w:pPr>
        <w:jc w:val="both"/>
        <w:rPr>
          <w:rFonts w:ascii="Project Sans" w:hAnsi="Project Sans" w:cs="Times New Roman"/>
          <w:sz w:val="24"/>
          <w:szCs w:val="24"/>
          <w:lang w:val="fr-FR"/>
        </w:rPr>
      </w:pPr>
      <w:r w:rsidRPr="007A61AB">
        <w:rPr>
          <w:rFonts w:ascii="Project Sans" w:hAnsi="Project Sans"/>
          <w:sz w:val="24"/>
          <w:szCs w:val="24"/>
          <w:lang w:val="fr-FR"/>
        </w:rPr>
        <w:t>Il est chargé de concevoir les techniques, de déterminer les moyens et méthodes de vulgarisation de l’Agriculture moderne d’incitation des agriculteurs à mieux produire, et de promouvoir toutes mesures permettant le développement agricole.</w:t>
      </w:r>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t>Il se compose de</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pStyle w:val="ListParagraph"/>
        <w:numPr>
          <w:ilvl w:val="0"/>
          <w:numId w:val="7"/>
        </w:numPr>
        <w:jc w:val="both"/>
        <w:rPr>
          <w:rFonts w:ascii="Project Sans" w:hAnsi="Project Sans" w:cs="Times New Roman"/>
          <w:sz w:val="24"/>
          <w:szCs w:val="24"/>
          <w:lang w:val="fr-FR"/>
        </w:rPr>
      </w:pPr>
      <w:bookmarkStart w:id="20" w:name="_Toc269728847"/>
      <w:bookmarkStart w:id="21" w:name="_Toc271518500"/>
      <w:r w:rsidRPr="007A61AB">
        <w:rPr>
          <w:rFonts w:ascii="Project Sans" w:hAnsi="Project Sans" w:cs="Times New Roman"/>
          <w:sz w:val="24"/>
          <w:szCs w:val="24"/>
          <w:lang w:val="fr-FR"/>
        </w:rPr>
        <w:t>Un bureau de vulgarisation et crédits</w:t>
      </w:r>
      <w:bookmarkEnd w:id="20"/>
      <w:bookmarkEnd w:id="21"/>
    </w:p>
    <w:p w:rsidR="00926D56" w:rsidRPr="007A61AB" w:rsidRDefault="00926D56" w:rsidP="00926D56">
      <w:pPr>
        <w:pStyle w:val="ListParagraph"/>
        <w:numPr>
          <w:ilvl w:val="0"/>
          <w:numId w:val="7"/>
        </w:numPr>
        <w:jc w:val="both"/>
        <w:rPr>
          <w:rFonts w:ascii="Project Sans" w:hAnsi="Project Sans" w:cs="Times New Roman"/>
          <w:sz w:val="24"/>
          <w:szCs w:val="24"/>
          <w:lang w:val="fr-FR"/>
        </w:rPr>
      </w:pPr>
      <w:bookmarkStart w:id="22" w:name="_Toc269728848"/>
      <w:bookmarkStart w:id="23" w:name="_Toc271518501"/>
      <w:r w:rsidRPr="007A61AB">
        <w:rPr>
          <w:rFonts w:ascii="Project Sans" w:hAnsi="Project Sans" w:cs="Times New Roman"/>
          <w:sz w:val="24"/>
          <w:szCs w:val="24"/>
          <w:lang w:val="fr-FR"/>
        </w:rPr>
        <w:t>Un bureau de la formation et de perfectionnement</w:t>
      </w:r>
      <w:bookmarkEnd w:id="22"/>
      <w:bookmarkEnd w:id="23"/>
    </w:p>
    <w:p w:rsidR="00926D56" w:rsidRPr="007A61AB" w:rsidRDefault="00926D56" w:rsidP="00926D56">
      <w:pPr>
        <w:pStyle w:val="ListParagraph"/>
        <w:numPr>
          <w:ilvl w:val="0"/>
          <w:numId w:val="7"/>
        </w:numPr>
        <w:jc w:val="both"/>
        <w:rPr>
          <w:rFonts w:ascii="Project Sans" w:hAnsi="Project Sans" w:cs="Times New Roman"/>
          <w:sz w:val="24"/>
          <w:szCs w:val="24"/>
          <w:lang w:val="fr-FR"/>
        </w:rPr>
      </w:pPr>
      <w:bookmarkStart w:id="24" w:name="_Toc269728849"/>
      <w:bookmarkStart w:id="25" w:name="_Toc271518502"/>
      <w:r w:rsidRPr="007A61AB">
        <w:rPr>
          <w:rFonts w:ascii="Project Sans" w:hAnsi="Project Sans" w:cs="Times New Roman"/>
          <w:sz w:val="24"/>
          <w:szCs w:val="24"/>
          <w:lang w:val="fr-FR"/>
        </w:rPr>
        <w:t>Un bureau</w:t>
      </w:r>
      <w:bookmarkEnd w:id="24"/>
      <w:bookmarkEnd w:id="25"/>
      <w:r w:rsidRPr="007A61AB">
        <w:rPr>
          <w:rFonts w:ascii="Project Sans" w:hAnsi="Project Sans" w:cs="Times New Roman"/>
          <w:sz w:val="24"/>
          <w:szCs w:val="24"/>
          <w:lang w:val="fr-FR"/>
        </w:rPr>
        <w:t xml:space="preserve">  </w:t>
      </w:r>
    </w:p>
    <w:p w:rsidR="00926D56" w:rsidRPr="007A61AB" w:rsidRDefault="00926D56" w:rsidP="00926D56">
      <w:pPr>
        <w:pStyle w:val="ListParagraph"/>
        <w:numPr>
          <w:ilvl w:val="0"/>
          <w:numId w:val="7"/>
        </w:numPr>
        <w:jc w:val="both"/>
        <w:rPr>
          <w:rFonts w:ascii="Project Sans" w:hAnsi="Project Sans" w:cs="Times New Roman"/>
          <w:sz w:val="24"/>
          <w:szCs w:val="24"/>
          <w:lang w:val="fr-FR"/>
        </w:rPr>
      </w:pPr>
      <w:bookmarkStart w:id="26" w:name="_Toc269728850"/>
      <w:bookmarkStart w:id="27" w:name="_Toc271518503"/>
      <w:r w:rsidRPr="007A61AB">
        <w:rPr>
          <w:rFonts w:ascii="Project Sans" w:hAnsi="Project Sans" w:cs="Times New Roman"/>
          <w:sz w:val="24"/>
          <w:szCs w:val="24"/>
          <w:lang w:val="fr-FR"/>
        </w:rPr>
        <w:t>De l’organisation professionnelle</w:t>
      </w:r>
      <w:bookmarkEnd w:id="26"/>
      <w:bookmarkEnd w:id="27"/>
    </w:p>
    <w:p w:rsidR="00926D56" w:rsidRPr="007A61AB" w:rsidRDefault="00926D56" w:rsidP="00926D56">
      <w:pPr>
        <w:pStyle w:val="ListParagraph"/>
        <w:numPr>
          <w:ilvl w:val="0"/>
          <w:numId w:val="7"/>
        </w:numPr>
        <w:jc w:val="both"/>
        <w:rPr>
          <w:rFonts w:ascii="Project Sans" w:hAnsi="Project Sans" w:cs="Times New Roman"/>
          <w:sz w:val="24"/>
          <w:szCs w:val="24"/>
          <w:lang w:val="fr-FR"/>
        </w:rPr>
      </w:pPr>
      <w:bookmarkStart w:id="28" w:name="_Toc269728851"/>
      <w:bookmarkStart w:id="29" w:name="_Toc271518504"/>
      <w:r w:rsidRPr="007A61AB">
        <w:rPr>
          <w:rFonts w:ascii="Project Sans" w:hAnsi="Project Sans" w:cs="Times New Roman"/>
          <w:sz w:val="24"/>
          <w:szCs w:val="24"/>
          <w:lang w:val="fr-FR"/>
        </w:rPr>
        <w:t>Un bureau audiovisuel</w:t>
      </w:r>
      <w:bookmarkEnd w:id="28"/>
      <w:bookmarkEnd w:id="29"/>
    </w:p>
    <w:p w:rsidR="00926D56" w:rsidRPr="007A61AB" w:rsidRDefault="00926D56" w:rsidP="00926D56">
      <w:pPr>
        <w:rPr>
          <w:rFonts w:ascii="Project Sans" w:hAnsi="Project Sans"/>
          <w:lang w:val="fr-FR"/>
        </w:rPr>
      </w:pPr>
    </w:p>
    <w:p w:rsidR="00926D56" w:rsidRPr="007A61AB" w:rsidRDefault="00926D56" w:rsidP="00926D56">
      <w:pPr>
        <w:pStyle w:val="ListParagraph"/>
        <w:numPr>
          <w:ilvl w:val="0"/>
          <w:numId w:val="5"/>
        </w:numPr>
        <w:rPr>
          <w:rFonts w:ascii="Project Sans" w:hAnsi="Project Sans" w:cs="Times New Roman"/>
          <w:sz w:val="24"/>
          <w:szCs w:val="24"/>
          <w:lang w:val="fr-FR"/>
        </w:rPr>
      </w:pPr>
      <w:r w:rsidRPr="007A61AB">
        <w:rPr>
          <w:rFonts w:ascii="Project Sans" w:hAnsi="Project Sans"/>
          <w:sz w:val="24"/>
          <w:szCs w:val="24"/>
          <w:lang w:val="fr-FR"/>
        </w:rPr>
        <w:t>Service de production agricole (SPA)</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rPr>
          <w:rFonts w:ascii="Project Sans" w:hAnsi="Project Sans"/>
          <w:sz w:val="24"/>
          <w:szCs w:val="24"/>
          <w:lang w:val="fr-FR"/>
        </w:rPr>
      </w:pPr>
      <w:r w:rsidRPr="007A61AB">
        <w:rPr>
          <w:rFonts w:ascii="Project Sans" w:hAnsi="Project Sans"/>
          <w:sz w:val="24"/>
          <w:szCs w:val="24"/>
          <w:lang w:val="fr-FR"/>
        </w:rPr>
        <w:t>Il est chargé de préparer les études et projets de mise en valeur agricole, de réaliser les opérations convenables à l’office et de mettre en œuvre les moyens d’intervention adéquats dans le but d’atteindre les objectifs tracés. Il comprend</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pStyle w:val="ListParagraph"/>
        <w:numPr>
          <w:ilvl w:val="0"/>
          <w:numId w:val="8"/>
        </w:numPr>
        <w:rPr>
          <w:rFonts w:ascii="Project Sans" w:hAnsi="Project Sans" w:cs="Times New Roman"/>
          <w:sz w:val="24"/>
          <w:szCs w:val="24"/>
          <w:lang w:val="fr-FR"/>
        </w:rPr>
      </w:pPr>
      <w:bookmarkStart w:id="30" w:name="_Toc269728852"/>
      <w:bookmarkStart w:id="31" w:name="_Toc271518505"/>
      <w:r w:rsidRPr="007A61AB">
        <w:rPr>
          <w:rFonts w:ascii="Project Sans" w:hAnsi="Project Sans" w:cs="Times New Roman"/>
          <w:sz w:val="24"/>
          <w:szCs w:val="24"/>
          <w:lang w:val="fr-FR"/>
        </w:rPr>
        <w:t>Un bureau de gestion des CMV</w:t>
      </w:r>
      <w:bookmarkEnd w:id="30"/>
      <w:bookmarkEnd w:id="31"/>
    </w:p>
    <w:p w:rsidR="00926D56" w:rsidRPr="007A61AB" w:rsidRDefault="00926D56" w:rsidP="00926D56">
      <w:pPr>
        <w:pStyle w:val="ListParagraph"/>
        <w:numPr>
          <w:ilvl w:val="0"/>
          <w:numId w:val="8"/>
        </w:numPr>
        <w:rPr>
          <w:rFonts w:ascii="Project Sans" w:hAnsi="Project Sans" w:cs="Times New Roman"/>
          <w:sz w:val="24"/>
          <w:szCs w:val="24"/>
          <w:lang w:val="fr-FR"/>
        </w:rPr>
      </w:pPr>
      <w:bookmarkStart w:id="32" w:name="_Toc269728853"/>
      <w:bookmarkStart w:id="33" w:name="_Toc271518506"/>
      <w:r w:rsidRPr="007A61AB">
        <w:rPr>
          <w:rFonts w:ascii="Project Sans" w:hAnsi="Project Sans" w:cs="Times New Roman"/>
          <w:sz w:val="24"/>
          <w:szCs w:val="24"/>
          <w:lang w:val="fr-FR"/>
        </w:rPr>
        <w:t>Un bureau de la réforme agraire</w:t>
      </w:r>
      <w:bookmarkEnd w:id="32"/>
      <w:bookmarkEnd w:id="33"/>
    </w:p>
    <w:p w:rsidR="00926D56" w:rsidRPr="007A61AB" w:rsidRDefault="00926D56" w:rsidP="00926D56">
      <w:pPr>
        <w:pStyle w:val="ListParagraph"/>
        <w:numPr>
          <w:ilvl w:val="0"/>
          <w:numId w:val="8"/>
        </w:numPr>
        <w:rPr>
          <w:rFonts w:ascii="Project Sans" w:hAnsi="Project Sans" w:cs="Times New Roman"/>
          <w:sz w:val="24"/>
          <w:szCs w:val="24"/>
          <w:lang w:val="fr-FR"/>
        </w:rPr>
      </w:pPr>
      <w:bookmarkStart w:id="34" w:name="_Toc269728854"/>
      <w:bookmarkStart w:id="35" w:name="_Toc271518507"/>
      <w:r w:rsidRPr="007A61AB">
        <w:rPr>
          <w:rFonts w:ascii="Project Sans" w:hAnsi="Project Sans" w:cs="Times New Roman"/>
          <w:sz w:val="24"/>
          <w:szCs w:val="24"/>
          <w:lang w:val="fr-FR"/>
        </w:rPr>
        <w:t>Un bureau des études agro économiques</w:t>
      </w:r>
      <w:bookmarkEnd w:id="34"/>
      <w:bookmarkEnd w:id="35"/>
    </w:p>
    <w:p w:rsidR="00926D56" w:rsidRPr="007A61AB" w:rsidRDefault="00926D56" w:rsidP="00926D56">
      <w:pPr>
        <w:pStyle w:val="ListParagraph"/>
        <w:numPr>
          <w:ilvl w:val="0"/>
          <w:numId w:val="8"/>
        </w:numPr>
        <w:rPr>
          <w:rFonts w:ascii="Project Sans" w:hAnsi="Project Sans" w:cs="Times New Roman"/>
          <w:sz w:val="24"/>
          <w:szCs w:val="24"/>
          <w:lang w:val="fr-FR"/>
        </w:rPr>
      </w:pPr>
      <w:bookmarkStart w:id="36" w:name="_Toc269728855"/>
      <w:bookmarkStart w:id="37" w:name="_Toc271518508"/>
      <w:r w:rsidRPr="007A61AB">
        <w:rPr>
          <w:rFonts w:ascii="Project Sans" w:hAnsi="Project Sans" w:cs="Times New Roman"/>
          <w:sz w:val="24"/>
          <w:szCs w:val="24"/>
          <w:lang w:val="fr-FR"/>
        </w:rPr>
        <w:t xml:space="preserve">Un bureau des études </w:t>
      </w:r>
      <w:proofErr w:type="spellStart"/>
      <w:r w:rsidRPr="007A61AB">
        <w:rPr>
          <w:rFonts w:ascii="Project Sans" w:hAnsi="Project Sans" w:cs="Times New Roman"/>
          <w:sz w:val="24"/>
          <w:szCs w:val="24"/>
          <w:lang w:val="fr-FR"/>
        </w:rPr>
        <w:t>agro</w:t>
      </w:r>
      <w:proofErr w:type="gramStart"/>
      <w:r w:rsidRPr="007A61AB">
        <w:rPr>
          <w:rFonts w:ascii="Project Sans" w:hAnsi="Project Sans" w:cs="Times New Roman"/>
          <w:sz w:val="24"/>
          <w:szCs w:val="24"/>
          <w:lang w:val="fr-FR"/>
        </w:rPr>
        <w:t>-«économiques</w:t>
      </w:r>
      <w:bookmarkEnd w:id="36"/>
      <w:bookmarkEnd w:id="37"/>
      <w:proofErr w:type="spellEnd"/>
      <w:proofErr w:type="gramEnd"/>
    </w:p>
    <w:p w:rsidR="00926D56" w:rsidRPr="007A61AB" w:rsidRDefault="00926D56" w:rsidP="00926D56">
      <w:pPr>
        <w:pStyle w:val="ListParagraph"/>
        <w:numPr>
          <w:ilvl w:val="0"/>
          <w:numId w:val="8"/>
        </w:numPr>
        <w:rPr>
          <w:rFonts w:ascii="Project Sans" w:hAnsi="Project Sans" w:cs="Times New Roman"/>
          <w:sz w:val="24"/>
          <w:szCs w:val="24"/>
          <w:lang w:val="fr-FR"/>
        </w:rPr>
      </w:pPr>
      <w:bookmarkStart w:id="38" w:name="_Toc269728856"/>
      <w:bookmarkStart w:id="39" w:name="_Toc271518509"/>
      <w:r w:rsidRPr="007A61AB">
        <w:rPr>
          <w:rFonts w:ascii="Project Sans" w:hAnsi="Project Sans" w:cs="Times New Roman"/>
          <w:sz w:val="24"/>
          <w:szCs w:val="24"/>
          <w:lang w:val="fr-FR"/>
        </w:rPr>
        <w:t>Un bureau d’horticulture</w:t>
      </w:r>
      <w:bookmarkEnd w:id="38"/>
      <w:bookmarkEnd w:id="39"/>
    </w:p>
    <w:p w:rsidR="00926D56" w:rsidRPr="007A61AB" w:rsidRDefault="00926D56" w:rsidP="00926D56">
      <w:pPr>
        <w:pStyle w:val="ListParagraph"/>
        <w:numPr>
          <w:ilvl w:val="0"/>
          <w:numId w:val="8"/>
        </w:numPr>
        <w:rPr>
          <w:rFonts w:ascii="Project Sans" w:hAnsi="Project Sans" w:cs="Times New Roman"/>
          <w:sz w:val="24"/>
          <w:szCs w:val="24"/>
          <w:lang w:val="fr-FR"/>
        </w:rPr>
      </w:pPr>
      <w:bookmarkStart w:id="40" w:name="_Toc269728857"/>
      <w:bookmarkStart w:id="41" w:name="_Toc271518510"/>
      <w:r w:rsidRPr="007A61AB">
        <w:rPr>
          <w:rFonts w:ascii="Project Sans" w:hAnsi="Project Sans" w:cs="Times New Roman"/>
          <w:sz w:val="24"/>
          <w:szCs w:val="24"/>
          <w:lang w:val="fr-FR"/>
        </w:rPr>
        <w:t>Un bureau des grandes cultures</w:t>
      </w:r>
      <w:bookmarkEnd w:id="40"/>
      <w:bookmarkEnd w:id="41"/>
    </w:p>
    <w:p w:rsidR="00926D56" w:rsidRPr="007A61AB" w:rsidRDefault="00926D56" w:rsidP="00926D56">
      <w:pPr>
        <w:jc w:val="both"/>
        <w:rPr>
          <w:rFonts w:ascii="Project Sans" w:hAnsi="Project Sans"/>
          <w:sz w:val="24"/>
          <w:szCs w:val="24"/>
          <w:lang w:val="fr-FR"/>
        </w:rPr>
      </w:pPr>
    </w:p>
    <w:p w:rsidR="00926D56" w:rsidRPr="007A61AB" w:rsidRDefault="00926D56" w:rsidP="00926D56">
      <w:pPr>
        <w:pStyle w:val="ListParagraph"/>
        <w:numPr>
          <w:ilvl w:val="0"/>
          <w:numId w:val="5"/>
        </w:numPr>
        <w:rPr>
          <w:rFonts w:ascii="Project Sans" w:hAnsi="Project Sans" w:cs="Times New Roman"/>
          <w:sz w:val="24"/>
          <w:szCs w:val="24"/>
          <w:lang w:val="fr-FR"/>
        </w:rPr>
      </w:pPr>
      <w:r w:rsidRPr="007A61AB">
        <w:rPr>
          <w:rFonts w:ascii="Project Sans" w:hAnsi="Project Sans"/>
          <w:sz w:val="24"/>
          <w:szCs w:val="24"/>
          <w:lang w:val="fr-FR"/>
        </w:rPr>
        <w:t>Service de gestion des réseaux d’irrigation (SGR)</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lastRenderedPageBreak/>
        <w:t>Il est chargé de la gestion des réseaux</w:t>
      </w:r>
      <w:r w:rsidRPr="007A61AB">
        <w:rPr>
          <w:rFonts w:ascii="Cambria" w:hAnsi="Cambria" w:cs="Cambria"/>
          <w:sz w:val="24"/>
          <w:szCs w:val="24"/>
          <w:lang w:val="fr-FR"/>
        </w:rPr>
        <w:t> </w:t>
      </w:r>
      <w:r w:rsidRPr="007A61AB">
        <w:rPr>
          <w:rFonts w:ascii="Project Sans" w:hAnsi="Project Sans"/>
          <w:sz w:val="24"/>
          <w:szCs w:val="24"/>
          <w:lang w:val="fr-FR"/>
        </w:rPr>
        <w:t>; sa tâche est d’assurer l’entretien des équipements d’irrigation, le contrôle des stations de pompage, de l’exploitation de la nappe phréatique, la tarification de l’eau ainsi que tous les problèmes liés aux droits de l’eau. Il se compose de</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t>Un bureau d’entretien des équipements électromécaniques</w:t>
      </w:r>
    </w:p>
    <w:p w:rsidR="00926D56" w:rsidRPr="007A61AB" w:rsidRDefault="00926D56" w:rsidP="00926D56">
      <w:pPr>
        <w:pStyle w:val="ListParagraph"/>
        <w:numPr>
          <w:ilvl w:val="0"/>
          <w:numId w:val="9"/>
        </w:numPr>
        <w:rPr>
          <w:rFonts w:ascii="Project Sans" w:hAnsi="Project Sans"/>
          <w:sz w:val="24"/>
          <w:szCs w:val="24"/>
          <w:lang w:val="fr-FR"/>
        </w:rPr>
      </w:pPr>
      <w:r w:rsidRPr="007A61AB">
        <w:rPr>
          <w:rFonts w:ascii="Project Sans" w:hAnsi="Project Sans"/>
          <w:sz w:val="24"/>
          <w:szCs w:val="24"/>
          <w:lang w:val="fr-FR"/>
        </w:rPr>
        <w:t>Un bureau d’entretien des réseaux d’irrigation</w:t>
      </w:r>
    </w:p>
    <w:p w:rsidR="00926D56" w:rsidRPr="007A61AB" w:rsidRDefault="00926D56" w:rsidP="00926D56">
      <w:pPr>
        <w:pStyle w:val="ListParagraph"/>
        <w:numPr>
          <w:ilvl w:val="0"/>
          <w:numId w:val="9"/>
        </w:numPr>
        <w:rPr>
          <w:rFonts w:ascii="Project Sans" w:hAnsi="Project Sans"/>
          <w:sz w:val="24"/>
          <w:szCs w:val="24"/>
          <w:lang w:val="fr-FR"/>
        </w:rPr>
      </w:pPr>
      <w:r w:rsidRPr="007A61AB">
        <w:rPr>
          <w:rFonts w:ascii="Project Sans" w:hAnsi="Project Sans"/>
          <w:sz w:val="24"/>
          <w:szCs w:val="24"/>
          <w:lang w:val="fr-FR"/>
        </w:rPr>
        <w:t xml:space="preserve">Un bureau d’exploitation du réseau </w:t>
      </w:r>
    </w:p>
    <w:p w:rsidR="00926D56" w:rsidRPr="007A61AB" w:rsidRDefault="00926D56" w:rsidP="00926D56">
      <w:pPr>
        <w:pStyle w:val="ListParagraph"/>
        <w:numPr>
          <w:ilvl w:val="0"/>
          <w:numId w:val="9"/>
        </w:numPr>
        <w:rPr>
          <w:rFonts w:ascii="Project Sans" w:hAnsi="Project Sans"/>
          <w:sz w:val="24"/>
          <w:szCs w:val="24"/>
          <w:lang w:val="fr-FR"/>
        </w:rPr>
      </w:pPr>
      <w:r w:rsidRPr="007A61AB">
        <w:rPr>
          <w:rFonts w:ascii="Project Sans" w:hAnsi="Project Sans"/>
          <w:sz w:val="24"/>
          <w:szCs w:val="24"/>
          <w:lang w:val="fr-FR"/>
        </w:rPr>
        <w:t>Un bureau des techniques des irrigations</w:t>
      </w:r>
    </w:p>
    <w:p w:rsidR="00926D56" w:rsidRPr="007A61AB" w:rsidRDefault="00926D56" w:rsidP="00926D56">
      <w:pPr>
        <w:jc w:val="both"/>
        <w:rPr>
          <w:rFonts w:ascii="Project Sans" w:hAnsi="Project Sans"/>
          <w:sz w:val="24"/>
          <w:szCs w:val="24"/>
          <w:lang w:val="fr-FR"/>
        </w:rPr>
      </w:pPr>
    </w:p>
    <w:p w:rsidR="00926D56" w:rsidRPr="007A61AB" w:rsidRDefault="00926D56" w:rsidP="00926D56">
      <w:pPr>
        <w:pStyle w:val="ListParagraph"/>
        <w:numPr>
          <w:ilvl w:val="0"/>
          <w:numId w:val="5"/>
        </w:numPr>
        <w:rPr>
          <w:rFonts w:ascii="Project Sans" w:hAnsi="Project Sans"/>
          <w:sz w:val="24"/>
          <w:szCs w:val="24"/>
          <w:lang w:val="fr-FR"/>
        </w:rPr>
      </w:pPr>
      <w:r w:rsidRPr="007A61AB">
        <w:rPr>
          <w:rFonts w:ascii="Project Sans" w:hAnsi="Project Sans"/>
          <w:sz w:val="24"/>
          <w:szCs w:val="24"/>
          <w:lang w:val="fr-FR"/>
        </w:rPr>
        <w:t>Service d’équipement</w:t>
      </w:r>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t>Se charge des études de l’équipement relatifs à l’Hydraulique agricole, aux aménagements fonciers notamment les opérations de remembrement et d’aménagement rural.</w:t>
      </w:r>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t>Il comprend les bureaux suivants</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pStyle w:val="ListParagraph"/>
        <w:numPr>
          <w:ilvl w:val="0"/>
          <w:numId w:val="10"/>
        </w:numPr>
        <w:jc w:val="both"/>
        <w:rPr>
          <w:rFonts w:ascii="Project Sans" w:hAnsi="Project Sans"/>
          <w:sz w:val="24"/>
          <w:szCs w:val="24"/>
          <w:lang w:val="fr-FR"/>
        </w:rPr>
      </w:pPr>
      <w:r w:rsidRPr="007A61AB">
        <w:rPr>
          <w:rFonts w:ascii="Project Sans" w:hAnsi="Project Sans"/>
          <w:sz w:val="24"/>
          <w:szCs w:val="24"/>
          <w:lang w:val="fr-FR"/>
        </w:rPr>
        <w:t>Bureau d’études de topographie</w:t>
      </w:r>
    </w:p>
    <w:p w:rsidR="00926D56" w:rsidRPr="007A61AB" w:rsidRDefault="00926D56" w:rsidP="00926D56">
      <w:pPr>
        <w:pStyle w:val="ListParagraph"/>
        <w:numPr>
          <w:ilvl w:val="0"/>
          <w:numId w:val="10"/>
        </w:numPr>
        <w:jc w:val="both"/>
        <w:rPr>
          <w:rFonts w:ascii="Project Sans" w:hAnsi="Project Sans"/>
          <w:sz w:val="24"/>
          <w:szCs w:val="24"/>
          <w:lang w:val="fr-FR"/>
        </w:rPr>
      </w:pPr>
      <w:r w:rsidRPr="007A61AB">
        <w:rPr>
          <w:rFonts w:ascii="Project Sans" w:hAnsi="Project Sans"/>
          <w:sz w:val="24"/>
          <w:szCs w:val="24"/>
          <w:lang w:val="fr-FR"/>
        </w:rPr>
        <w:t>Bureau des travaux hydrauliques</w:t>
      </w:r>
    </w:p>
    <w:p w:rsidR="00926D56" w:rsidRPr="007A61AB" w:rsidRDefault="00926D56" w:rsidP="00926D56">
      <w:pPr>
        <w:pStyle w:val="ListParagraph"/>
        <w:numPr>
          <w:ilvl w:val="0"/>
          <w:numId w:val="10"/>
        </w:numPr>
        <w:jc w:val="both"/>
        <w:rPr>
          <w:rFonts w:ascii="Project Sans" w:hAnsi="Project Sans"/>
          <w:sz w:val="24"/>
          <w:szCs w:val="24"/>
          <w:lang w:val="fr-FR"/>
        </w:rPr>
      </w:pPr>
      <w:r w:rsidRPr="007A61AB">
        <w:rPr>
          <w:rFonts w:ascii="Project Sans" w:hAnsi="Project Sans"/>
          <w:sz w:val="24"/>
          <w:szCs w:val="24"/>
          <w:lang w:val="fr-FR"/>
        </w:rPr>
        <w:t>Bureau d’aménagement rural et des équipements des services</w:t>
      </w:r>
    </w:p>
    <w:p w:rsidR="00926D56" w:rsidRPr="007A61AB" w:rsidRDefault="00926D56" w:rsidP="00926D56">
      <w:pPr>
        <w:pStyle w:val="ListParagraph"/>
        <w:numPr>
          <w:ilvl w:val="0"/>
          <w:numId w:val="10"/>
        </w:numPr>
        <w:jc w:val="both"/>
        <w:rPr>
          <w:rFonts w:ascii="Project Sans" w:hAnsi="Project Sans"/>
          <w:sz w:val="24"/>
          <w:szCs w:val="24"/>
          <w:lang w:val="fr-FR"/>
        </w:rPr>
      </w:pPr>
      <w:r w:rsidRPr="007A61AB">
        <w:rPr>
          <w:rFonts w:ascii="Project Sans" w:hAnsi="Project Sans"/>
          <w:sz w:val="24"/>
          <w:szCs w:val="24"/>
          <w:lang w:val="fr-FR"/>
        </w:rPr>
        <w:t>Bureau des aménagements fonciers</w:t>
      </w:r>
    </w:p>
    <w:p w:rsidR="00926D56" w:rsidRPr="007A61AB" w:rsidRDefault="00926D56" w:rsidP="00926D56">
      <w:pPr>
        <w:rPr>
          <w:color w:val="5B9BD5" w:themeColor="accent1"/>
          <w:lang w:val="fr-FR"/>
        </w:rPr>
      </w:pPr>
      <w:bookmarkStart w:id="42" w:name="_Toc269376610"/>
    </w:p>
    <w:p w:rsidR="00926D56" w:rsidRPr="007A61AB" w:rsidRDefault="00926D56" w:rsidP="00926D56">
      <w:pPr>
        <w:rPr>
          <w:rFonts w:ascii="Project Sans" w:hAnsi="Project Sans"/>
          <w:b/>
          <w:bCs/>
          <w:i/>
          <w:iCs/>
          <w:color w:val="3B3838" w:themeColor="background2" w:themeShade="40"/>
          <w:sz w:val="24"/>
          <w:szCs w:val="24"/>
          <w:lang w:val="fr-FR"/>
        </w:rPr>
      </w:pPr>
      <w:r w:rsidRPr="007A61AB">
        <w:rPr>
          <w:rFonts w:ascii="Project Sans" w:hAnsi="Project Sans"/>
          <w:b/>
          <w:bCs/>
          <w:i/>
          <w:iCs/>
          <w:color w:val="3B3838" w:themeColor="background2" w:themeShade="40"/>
          <w:sz w:val="24"/>
          <w:szCs w:val="24"/>
          <w:lang w:val="fr-FR"/>
        </w:rPr>
        <w:t>Les services fonctionnels</w:t>
      </w:r>
      <w:r w:rsidRPr="007A61AB">
        <w:rPr>
          <w:rFonts w:ascii="Cambria" w:hAnsi="Cambria" w:cs="Cambria"/>
          <w:b/>
          <w:bCs/>
          <w:i/>
          <w:iCs/>
          <w:color w:val="3B3838" w:themeColor="background2" w:themeShade="40"/>
          <w:sz w:val="24"/>
          <w:szCs w:val="24"/>
          <w:lang w:val="fr-FR"/>
        </w:rPr>
        <w:t> </w:t>
      </w:r>
      <w:r w:rsidRPr="007A61AB">
        <w:rPr>
          <w:rFonts w:ascii="Project Sans" w:hAnsi="Project Sans"/>
          <w:b/>
          <w:bCs/>
          <w:i/>
          <w:iCs/>
          <w:color w:val="3B3838" w:themeColor="background2" w:themeShade="40"/>
          <w:sz w:val="24"/>
          <w:szCs w:val="24"/>
          <w:lang w:val="fr-FR"/>
        </w:rPr>
        <w:t>:</w:t>
      </w:r>
      <w:bookmarkStart w:id="43" w:name="_Toc269728858"/>
      <w:bookmarkStart w:id="44" w:name="_Toc271518511"/>
    </w:p>
    <w:p w:rsidR="00926D56" w:rsidRPr="007A61AB" w:rsidRDefault="00926D56" w:rsidP="00926D56">
      <w:pPr>
        <w:pStyle w:val="ListParagraph"/>
        <w:numPr>
          <w:ilvl w:val="0"/>
          <w:numId w:val="12"/>
        </w:numPr>
        <w:rPr>
          <w:rFonts w:ascii="Project Sans" w:hAnsi="Project Sans"/>
          <w:sz w:val="24"/>
          <w:szCs w:val="24"/>
          <w:lang w:val="fr-FR"/>
        </w:rPr>
      </w:pPr>
      <w:r w:rsidRPr="007A61AB">
        <w:rPr>
          <w:rFonts w:ascii="Project Sans" w:hAnsi="Project Sans"/>
          <w:sz w:val="24"/>
          <w:szCs w:val="24"/>
          <w:lang w:val="fr-FR"/>
        </w:rPr>
        <w:t>Service Administratifs et Financier (SAF)</w:t>
      </w:r>
      <w:r w:rsidRPr="007A61AB">
        <w:rPr>
          <w:rFonts w:ascii="Cambria" w:hAnsi="Cambria" w:cs="Cambria"/>
          <w:sz w:val="24"/>
          <w:szCs w:val="24"/>
          <w:lang w:val="fr-FR"/>
        </w:rPr>
        <w:t> </w:t>
      </w:r>
      <w:r w:rsidRPr="007A61AB">
        <w:rPr>
          <w:rFonts w:ascii="Project Sans" w:hAnsi="Project Sans"/>
          <w:sz w:val="24"/>
          <w:szCs w:val="24"/>
          <w:lang w:val="fr-FR"/>
        </w:rPr>
        <w:t>:</w:t>
      </w:r>
      <w:bookmarkEnd w:id="43"/>
      <w:bookmarkEnd w:id="44"/>
    </w:p>
    <w:p w:rsidR="00926D56" w:rsidRPr="007A61AB" w:rsidRDefault="00926D56" w:rsidP="00926D56">
      <w:pPr>
        <w:jc w:val="both"/>
        <w:rPr>
          <w:rFonts w:ascii="Project Sans" w:hAnsi="Project Sans"/>
          <w:sz w:val="24"/>
          <w:szCs w:val="24"/>
          <w:lang w:val="fr-FR"/>
        </w:rPr>
      </w:pPr>
      <w:bookmarkStart w:id="45" w:name="_Toc269728859"/>
      <w:bookmarkStart w:id="46" w:name="_Toc271518512"/>
      <w:r w:rsidRPr="007A61AB">
        <w:rPr>
          <w:rFonts w:ascii="Project Sans" w:hAnsi="Project Sans"/>
          <w:sz w:val="24"/>
          <w:szCs w:val="24"/>
          <w:lang w:val="fr-FR"/>
        </w:rPr>
        <w:t>Ce service se préoccupe des tâches administratives concernant la gestion du personnel statuaire et contractuel et comprend un bureau juridique et domanial.</w:t>
      </w:r>
      <w:bookmarkEnd w:id="45"/>
      <w:bookmarkEnd w:id="46"/>
    </w:p>
    <w:p w:rsidR="00926D56" w:rsidRPr="007A61AB" w:rsidRDefault="00926D56" w:rsidP="00926D56">
      <w:pPr>
        <w:pStyle w:val="ListParagraph"/>
        <w:numPr>
          <w:ilvl w:val="0"/>
          <w:numId w:val="12"/>
        </w:numPr>
        <w:rPr>
          <w:rFonts w:ascii="Project Sans" w:hAnsi="Project Sans"/>
          <w:sz w:val="24"/>
          <w:szCs w:val="24"/>
          <w:lang w:val="fr-FR"/>
        </w:rPr>
      </w:pPr>
      <w:bookmarkStart w:id="47" w:name="_Toc269728860"/>
      <w:bookmarkStart w:id="48" w:name="_Toc271518513"/>
      <w:r w:rsidRPr="007A61AB">
        <w:rPr>
          <w:rFonts w:ascii="Project Sans" w:hAnsi="Project Sans"/>
          <w:sz w:val="24"/>
          <w:szCs w:val="24"/>
          <w:lang w:val="fr-FR"/>
        </w:rPr>
        <w:t>Service de la planification et de la programmation (SPP)</w:t>
      </w:r>
      <w:r w:rsidRPr="007A61AB">
        <w:rPr>
          <w:rFonts w:ascii="Cambria" w:hAnsi="Cambria" w:cs="Cambria"/>
          <w:sz w:val="24"/>
          <w:szCs w:val="24"/>
          <w:lang w:val="fr-FR"/>
        </w:rPr>
        <w:t> </w:t>
      </w:r>
      <w:r w:rsidRPr="007A61AB">
        <w:rPr>
          <w:rFonts w:ascii="Project Sans" w:hAnsi="Project Sans"/>
          <w:sz w:val="24"/>
          <w:szCs w:val="24"/>
          <w:lang w:val="fr-FR"/>
        </w:rPr>
        <w:t>:</w:t>
      </w:r>
      <w:bookmarkEnd w:id="47"/>
      <w:bookmarkEnd w:id="48"/>
    </w:p>
    <w:p w:rsidR="00926D56" w:rsidRPr="007A61AB" w:rsidRDefault="00926D56" w:rsidP="00926D56">
      <w:pPr>
        <w:rPr>
          <w:rFonts w:ascii="Project Sans" w:hAnsi="Project Sans"/>
          <w:sz w:val="24"/>
          <w:szCs w:val="24"/>
          <w:lang w:val="fr-FR"/>
        </w:rPr>
      </w:pPr>
      <w:bookmarkStart w:id="49" w:name="_Toc269728861"/>
      <w:bookmarkStart w:id="50" w:name="_Toc271518514"/>
      <w:r w:rsidRPr="007A61AB">
        <w:rPr>
          <w:rFonts w:ascii="Project Sans" w:hAnsi="Project Sans"/>
          <w:sz w:val="24"/>
          <w:szCs w:val="24"/>
          <w:lang w:val="fr-FR"/>
        </w:rPr>
        <w:t>Ce service est chargé d’évaluer les objectifs à moyen et à long terme de la zone d’action de l’office, de définir la stratégie d’action, d’élaborer les programmes et les budgets de réalisation et de veiller à leur exécution. Il comprend</w:t>
      </w:r>
      <w:r w:rsidRPr="007A61AB">
        <w:rPr>
          <w:rFonts w:ascii="Cambria" w:hAnsi="Cambria" w:cs="Cambria"/>
          <w:sz w:val="24"/>
          <w:szCs w:val="24"/>
          <w:lang w:val="fr-FR"/>
        </w:rPr>
        <w:t> </w:t>
      </w:r>
      <w:r w:rsidRPr="007A61AB">
        <w:rPr>
          <w:rFonts w:ascii="Project Sans" w:hAnsi="Project Sans"/>
          <w:sz w:val="24"/>
          <w:szCs w:val="24"/>
          <w:lang w:val="fr-FR"/>
        </w:rPr>
        <w:t>:</w:t>
      </w:r>
      <w:bookmarkEnd w:id="49"/>
      <w:bookmarkEnd w:id="50"/>
    </w:p>
    <w:p w:rsidR="00926D56" w:rsidRPr="007A61AB" w:rsidRDefault="00926D56" w:rsidP="00926D56">
      <w:pPr>
        <w:pStyle w:val="ListParagraph"/>
        <w:numPr>
          <w:ilvl w:val="0"/>
          <w:numId w:val="11"/>
        </w:numPr>
        <w:rPr>
          <w:rFonts w:ascii="Project Sans" w:hAnsi="Project Sans"/>
          <w:sz w:val="24"/>
          <w:szCs w:val="24"/>
          <w:lang w:val="fr-FR"/>
        </w:rPr>
      </w:pPr>
      <w:bookmarkStart w:id="51" w:name="_Toc269728862"/>
      <w:bookmarkStart w:id="52" w:name="_Toc271518515"/>
      <w:r w:rsidRPr="007A61AB">
        <w:rPr>
          <w:rFonts w:ascii="Project Sans" w:hAnsi="Project Sans"/>
          <w:sz w:val="24"/>
          <w:szCs w:val="24"/>
          <w:lang w:val="fr-FR"/>
        </w:rPr>
        <w:t>Un bureau de programme</w:t>
      </w:r>
      <w:bookmarkEnd w:id="51"/>
      <w:bookmarkEnd w:id="52"/>
    </w:p>
    <w:p w:rsidR="00926D56" w:rsidRPr="007A61AB" w:rsidRDefault="00926D56" w:rsidP="00926D56">
      <w:pPr>
        <w:pStyle w:val="ListParagraph"/>
        <w:numPr>
          <w:ilvl w:val="0"/>
          <w:numId w:val="11"/>
        </w:numPr>
        <w:rPr>
          <w:rFonts w:ascii="Project Sans" w:hAnsi="Project Sans"/>
          <w:sz w:val="24"/>
          <w:szCs w:val="24"/>
          <w:lang w:val="fr-FR"/>
        </w:rPr>
      </w:pPr>
      <w:bookmarkStart w:id="53" w:name="_Toc269728863"/>
      <w:bookmarkStart w:id="54" w:name="_Toc271518516"/>
      <w:r w:rsidRPr="007A61AB">
        <w:rPr>
          <w:rFonts w:ascii="Project Sans" w:hAnsi="Project Sans"/>
          <w:sz w:val="24"/>
          <w:szCs w:val="24"/>
          <w:lang w:val="fr-FR"/>
        </w:rPr>
        <w:t>Un bureau des budgets</w:t>
      </w:r>
      <w:bookmarkEnd w:id="53"/>
      <w:bookmarkEnd w:id="54"/>
      <w:r w:rsidRPr="007A61AB">
        <w:rPr>
          <w:rFonts w:ascii="Project Sans" w:hAnsi="Project Sans"/>
          <w:sz w:val="24"/>
          <w:szCs w:val="24"/>
          <w:lang w:val="fr-FR"/>
        </w:rPr>
        <w:t xml:space="preserve"> </w:t>
      </w:r>
    </w:p>
    <w:p w:rsidR="00926D56" w:rsidRPr="007A61AB" w:rsidRDefault="00926D56" w:rsidP="00926D56">
      <w:pPr>
        <w:pStyle w:val="ListParagraph"/>
        <w:numPr>
          <w:ilvl w:val="0"/>
          <w:numId w:val="11"/>
        </w:numPr>
        <w:rPr>
          <w:rFonts w:ascii="Project Sans" w:hAnsi="Project Sans"/>
          <w:sz w:val="24"/>
          <w:szCs w:val="24"/>
          <w:lang w:val="fr-FR"/>
        </w:rPr>
      </w:pPr>
      <w:bookmarkStart w:id="55" w:name="_Toc269728864"/>
      <w:bookmarkStart w:id="56" w:name="_Toc271518517"/>
      <w:r w:rsidRPr="007A61AB">
        <w:rPr>
          <w:rFonts w:ascii="Project Sans" w:hAnsi="Project Sans"/>
          <w:sz w:val="24"/>
          <w:szCs w:val="24"/>
          <w:lang w:val="fr-FR"/>
        </w:rPr>
        <w:t>Un bureau des marchés</w:t>
      </w:r>
      <w:bookmarkEnd w:id="55"/>
      <w:bookmarkEnd w:id="56"/>
      <w:r w:rsidRPr="007A61AB">
        <w:rPr>
          <w:rFonts w:ascii="Project Sans" w:hAnsi="Project Sans"/>
          <w:sz w:val="24"/>
          <w:szCs w:val="24"/>
          <w:lang w:val="fr-FR"/>
        </w:rPr>
        <w:t xml:space="preserve"> </w:t>
      </w:r>
    </w:p>
    <w:p w:rsidR="00926D56" w:rsidRPr="007A61AB" w:rsidRDefault="00926D56" w:rsidP="00926D56">
      <w:pPr>
        <w:pStyle w:val="ListParagraph"/>
        <w:numPr>
          <w:ilvl w:val="0"/>
          <w:numId w:val="11"/>
        </w:numPr>
        <w:rPr>
          <w:rFonts w:ascii="Project Sans" w:hAnsi="Project Sans"/>
          <w:sz w:val="24"/>
          <w:szCs w:val="24"/>
          <w:lang w:val="fr-FR"/>
        </w:rPr>
      </w:pPr>
      <w:bookmarkStart w:id="57" w:name="_Toc269728865"/>
      <w:bookmarkStart w:id="58" w:name="_Toc271518518"/>
      <w:r w:rsidRPr="007A61AB">
        <w:rPr>
          <w:rFonts w:ascii="Project Sans" w:hAnsi="Project Sans"/>
          <w:sz w:val="24"/>
          <w:szCs w:val="24"/>
          <w:lang w:val="fr-FR"/>
        </w:rPr>
        <w:t>Une cellule comptable</w:t>
      </w:r>
      <w:bookmarkEnd w:id="57"/>
      <w:bookmarkEnd w:id="58"/>
    </w:p>
    <w:p w:rsidR="00926D56" w:rsidRPr="007A61AB" w:rsidRDefault="00926D56" w:rsidP="00926D56">
      <w:pPr>
        <w:pStyle w:val="ListParagraph"/>
        <w:numPr>
          <w:ilvl w:val="0"/>
          <w:numId w:val="11"/>
        </w:numPr>
        <w:rPr>
          <w:rFonts w:ascii="Project Sans" w:hAnsi="Project Sans"/>
          <w:sz w:val="24"/>
          <w:szCs w:val="24"/>
          <w:lang w:val="fr-FR"/>
        </w:rPr>
      </w:pPr>
      <w:bookmarkStart w:id="59" w:name="_Toc269728866"/>
      <w:bookmarkStart w:id="60" w:name="_Toc271518519"/>
      <w:r w:rsidRPr="007A61AB">
        <w:rPr>
          <w:rFonts w:ascii="Project Sans" w:hAnsi="Project Sans"/>
          <w:sz w:val="24"/>
          <w:szCs w:val="24"/>
          <w:lang w:val="fr-FR"/>
        </w:rPr>
        <w:t xml:space="preserve">Un </w:t>
      </w:r>
      <w:bookmarkEnd w:id="59"/>
      <w:bookmarkEnd w:id="60"/>
      <w:r w:rsidRPr="007A61AB">
        <w:rPr>
          <w:rFonts w:ascii="Project Sans" w:hAnsi="Project Sans"/>
          <w:sz w:val="24"/>
          <w:szCs w:val="24"/>
          <w:lang w:val="fr-FR"/>
        </w:rPr>
        <w:t>bureau informatique</w:t>
      </w:r>
    </w:p>
    <w:p w:rsidR="00926D56" w:rsidRPr="007A61AB" w:rsidRDefault="00926D56" w:rsidP="00926D56">
      <w:pPr>
        <w:pStyle w:val="ListParagraph"/>
        <w:rPr>
          <w:rFonts w:ascii="Project Sans" w:hAnsi="Project Sans"/>
          <w:sz w:val="24"/>
          <w:szCs w:val="24"/>
          <w:lang w:val="fr-FR"/>
        </w:rPr>
      </w:pPr>
    </w:p>
    <w:p w:rsidR="00926D56" w:rsidRPr="007A61AB" w:rsidRDefault="00926D56" w:rsidP="00926D56">
      <w:pPr>
        <w:pStyle w:val="ListParagraph"/>
        <w:numPr>
          <w:ilvl w:val="0"/>
          <w:numId w:val="12"/>
        </w:numPr>
        <w:rPr>
          <w:rFonts w:ascii="Project Sans" w:hAnsi="Project Sans"/>
          <w:sz w:val="24"/>
          <w:szCs w:val="24"/>
          <w:lang w:val="fr-FR"/>
        </w:rPr>
      </w:pPr>
      <w:bookmarkStart w:id="61" w:name="_Toc269728867"/>
      <w:bookmarkStart w:id="62" w:name="_Toc271518520"/>
      <w:r w:rsidRPr="007A61AB">
        <w:rPr>
          <w:rFonts w:ascii="Project Sans" w:hAnsi="Project Sans"/>
          <w:sz w:val="24"/>
          <w:szCs w:val="24"/>
          <w:lang w:val="fr-FR"/>
        </w:rPr>
        <w:t>Service du matériel (SML)</w:t>
      </w:r>
      <w:r w:rsidRPr="007A61AB">
        <w:rPr>
          <w:rFonts w:ascii="Cambria" w:hAnsi="Cambria" w:cs="Cambria"/>
          <w:sz w:val="24"/>
          <w:szCs w:val="24"/>
          <w:lang w:val="fr-FR"/>
        </w:rPr>
        <w:t> </w:t>
      </w:r>
      <w:r w:rsidRPr="007A61AB">
        <w:rPr>
          <w:rFonts w:ascii="Project Sans" w:hAnsi="Project Sans"/>
          <w:sz w:val="24"/>
          <w:szCs w:val="24"/>
          <w:lang w:val="fr-FR"/>
        </w:rPr>
        <w:t>:</w:t>
      </w:r>
      <w:bookmarkEnd w:id="61"/>
      <w:bookmarkEnd w:id="62"/>
    </w:p>
    <w:p w:rsidR="00926D56" w:rsidRPr="007A61AB" w:rsidRDefault="00926D56" w:rsidP="00926D56">
      <w:pPr>
        <w:jc w:val="both"/>
        <w:rPr>
          <w:rFonts w:ascii="Project Sans" w:hAnsi="Project Sans"/>
          <w:sz w:val="24"/>
          <w:szCs w:val="24"/>
          <w:lang w:val="fr-FR"/>
        </w:rPr>
      </w:pPr>
      <w:r w:rsidRPr="007A61AB">
        <w:rPr>
          <w:rFonts w:ascii="Project Sans" w:hAnsi="Project Sans"/>
          <w:sz w:val="24"/>
          <w:szCs w:val="24"/>
          <w:lang w:val="fr-FR"/>
        </w:rPr>
        <w:t>Ce service est chargé d’assurer l’approvisionnement les services de l’Office en fournitures, matériels, de gérer les parcs automobiles et de suivre la gestion des parcs des subdivisions et des centres de mise en valeur. Il comprend</w:t>
      </w:r>
      <w:r w:rsidRPr="007A61AB">
        <w:rPr>
          <w:rFonts w:ascii="Cambria" w:hAnsi="Cambria" w:cs="Cambria"/>
          <w:sz w:val="24"/>
          <w:szCs w:val="24"/>
          <w:lang w:val="fr-FR"/>
        </w:rPr>
        <w:t> </w:t>
      </w:r>
      <w:r w:rsidRPr="007A61AB">
        <w:rPr>
          <w:rFonts w:ascii="Project Sans" w:hAnsi="Project Sans"/>
          <w:sz w:val="24"/>
          <w:szCs w:val="24"/>
          <w:lang w:val="fr-FR"/>
        </w:rPr>
        <w:t>:</w:t>
      </w:r>
    </w:p>
    <w:p w:rsidR="00926D56" w:rsidRPr="007A61AB" w:rsidRDefault="00926D56" w:rsidP="00926D56">
      <w:pPr>
        <w:pStyle w:val="ListParagraph"/>
        <w:numPr>
          <w:ilvl w:val="0"/>
          <w:numId w:val="13"/>
        </w:numPr>
        <w:rPr>
          <w:rFonts w:ascii="Project Sans" w:hAnsi="Project Sans"/>
          <w:sz w:val="24"/>
          <w:szCs w:val="24"/>
          <w:lang w:val="fr-FR"/>
        </w:rPr>
      </w:pPr>
      <w:bookmarkStart w:id="63" w:name="_Toc269728868"/>
      <w:bookmarkStart w:id="64" w:name="_Toc271518521"/>
      <w:r w:rsidRPr="007A61AB">
        <w:rPr>
          <w:rFonts w:ascii="Project Sans" w:hAnsi="Project Sans"/>
          <w:sz w:val="24"/>
          <w:szCs w:val="24"/>
          <w:lang w:val="fr-FR"/>
        </w:rPr>
        <w:lastRenderedPageBreak/>
        <w:t>Un bureau des approvisionnements</w:t>
      </w:r>
      <w:bookmarkEnd w:id="63"/>
      <w:bookmarkEnd w:id="64"/>
    </w:p>
    <w:p w:rsidR="00926D56" w:rsidRPr="007A61AB" w:rsidRDefault="00926D56" w:rsidP="00926D56">
      <w:pPr>
        <w:pStyle w:val="ListParagraph"/>
        <w:numPr>
          <w:ilvl w:val="0"/>
          <w:numId w:val="13"/>
        </w:numPr>
        <w:rPr>
          <w:rFonts w:ascii="Project Sans" w:hAnsi="Project Sans"/>
          <w:sz w:val="24"/>
          <w:szCs w:val="24"/>
          <w:lang w:val="fr-FR"/>
        </w:rPr>
      </w:pPr>
      <w:bookmarkStart w:id="65" w:name="_Toc269728869"/>
      <w:bookmarkStart w:id="66" w:name="_Toc271518522"/>
      <w:r w:rsidRPr="007A61AB">
        <w:rPr>
          <w:rFonts w:ascii="Project Sans" w:hAnsi="Project Sans"/>
          <w:sz w:val="24"/>
          <w:szCs w:val="24"/>
          <w:lang w:val="fr-FR"/>
        </w:rPr>
        <w:t>Un bureau d’entretien</w:t>
      </w:r>
      <w:bookmarkEnd w:id="65"/>
      <w:bookmarkEnd w:id="66"/>
    </w:p>
    <w:p w:rsidR="00926D56" w:rsidRPr="007A61AB" w:rsidRDefault="00926D56" w:rsidP="00926D56">
      <w:pPr>
        <w:pStyle w:val="ListParagraph"/>
        <w:numPr>
          <w:ilvl w:val="0"/>
          <w:numId w:val="13"/>
        </w:numPr>
        <w:rPr>
          <w:rFonts w:ascii="Project Sans" w:hAnsi="Project Sans"/>
          <w:sz w:val="24"/>
          <w:szCs w:val="24"/>
          <w:lang w:val="fr-FR"/>
        </w:rPr>
      </w:pPr>
      <w:bookmarkStart w:id="67" w:name="_Toc269728870"/>
      <w:bookmarkStart w:id="68" w:name="_Toc271518523"/>
      <w:r w:rsidRPr="007A61AB">
        <w:rPr>
          <w:rFonts w:ascii="Project Sans" w:hAnsi="Project Sans"/>
          <w:sz w:val="24"/>
          <w:szCs w:val="24"/>
          <w:lang w:val="fr-FR"/>
        </w:rPr>
        <w:t>Un bureau de parc</w:t>
      </w:r>
      <w:bookmarkEnd w:id="67"/>
      <w:bookmarkEnd w:id="68"/>
    </w:p>
    <w:p w:rsidR="00926D56" w:rsidRPr="007A61AB" w:rsidRDefault="00926D56" w:rsidP="00926D56">
      <w:pPr>
        <w:pStyle w:val="ListParagraph"/>
        <w:numPr>
          <w:ilvl w:val="0"/>
          <w:numId w:val="13"/>
        </w:numPr>
        <w:rPr>
          <w:rFonts w:ascii="Project Sans" w:hAnsi="Project Sans"/>
          <w:sz w:val="24"/>
          <w:szCs w:val="24"/>
          <w:lang w:val="fr-FR"/>
        </w:rPr>
      </w:pPr>
      <w:bookmarkStart w:id="69" w:name="_Toc269728871"/>
      <w:bookmarkStart w:id="70" w:name="_Toc271518524"/>
      <w:r w:rsidRPr="007A61AB">
        <w:rPr>
          <w:rFonts w:ascii="Project Sans" w:hAnsi="Project Sans"/>
          <w:sz w:val="24"/>
          <w:szCs w:val="24"/>
          <w:lang w:val="fr-FR"/>
        </w:rPr>
        <w:t>Un bureau d’inventaire et patrimoine</w:t>
      </w:r>
      <w:bookmarkEnd w:id="69"/>
      <w:bookmarkEnd w:id="70"/>
    </w:p>
    <w:p w:rsidR="00926D56" w:rsidRPr="007A61AB" w:rsidRDefault="00926D56" w:rsidP="00926D56">
      <w:pPr>
        <w:pStyle w:val="ListParagraph"/>
        <w:numPr>
          <w:ilvl w:val="0"/>
          <w:numId w:val="14"/>
        </w:numPr>
        <w:rPr>
          <w:rFonts w:ascii="Project Sans" w:hAnsi="Project Sans"/>
          <w:sz w:val="24"/>
          <w:szCs w:val="24"/>
          <w:lang w:val="fr-FR"/>
        </w:rPr>
      </w:pPr>
      <w:bookmarkStart w:id="71" w:name="_Toc269728872"/>
      <w:bookmarkStart w:id="72" w:name="_Toc271518525"/>
      <w:r w:rsidRPr="007A61AB">
        <w:rPr>
          <w:rFonts w:ascii="Project Sans" w:hAnsi="Project Sans"/>
          <w:sz w:val="24"/>
          <w:szCs w:val="24"/>
          <w:lang w:val="fr-FR"/>
        </w:rPr>
        <w:t>Une salle de tirage</w:t>
      </w:r>
      <w:bookmarkEnd w:id="71"/>
      <w:bookmarkEnd w:id="72"/>
    </w:p>
    <w:p w:rsidR="00926D56" w:rsidRPr="007A61AB" w:rsidRDefault="00926D56" w:rsidP="00926D56">
      <w:pPr>
        <w:pStyle w:val="ListParagraph"/>
        <w:rPr>
          <w:rFonts w:ascii="Project Sans" w:hAnsi="Project Sans"/>
          <w:sz w:val="24"/>
          <w:szCs w:val="24"/>
          <w:lang w:val="fr-FR"/>
        </w:rPr>
      </w:pPr>
    </w:p>
    <w:p w:rsidR="00926D56" w:rsidRPr="007A61AB" w:rsidRDefault="00926D56" w:rsidP="00926D56">
      <w:pPr>
        <w:pStyle w:val="ListParagraph"/>
        <w:numPr>
          <w:ilvl w:val="0"/>
          <w:numId w:val="12"/>
        </w:numPr>
        <w:rPr>
          <w:rFonts w:ascii="Project Sans" w:hAnsi="Project Sans"/>
          <w:sz w:val="24"/>
          <w:szCs w:val="24"/>
          <w:lang w:val="fr-FR"/>
        </w:rPr>
      </w:pPr>
      <w:bookmarkStart w:id="73" w:name="_Toc269728873"/>
      <w:r w:rsidRPr="007A61AB">
        <w:rPr>
          <w:rFonts w:ascii="Project Sans" w:hAnsi="Project Sans"/>
          <w:sz w:val="24"/>
          <w:szCs w:val="24"/>
          <w:lang w:val="fr-FR"/>
        </w:rPr>
        <w:t xml:space="preserve">Structures </w:t>
      </w:r>
      <w:bookmarkEnd w:id="42"/>
      <w:bookmarkEnd w:id="73"/>
      <w:r w:rsidRPr="007A61AB">
        <w:rPr>
          <w:rFonts w:ascii="Project Sans" w:hAnsi="Project Sans"/>
          <w:sz w:val="24"/>
          <w:szCs w:val="24"/>
          <w:lang w:val="fr-FR"/>
        </w:rPr>
        <w:t>extérieures :</w:t>
      </w:r>
    </w:p>
    <w:p w:rsidR="00926D56" w:rsidRPr="007A61AB" w:rsidRDefault="00926D56" w:rsidP="00926D56">
      <w:pPr>
        <w:pStyle w:val="ListParagraph"/>
        <w:ind w:left="2160"/>
        <w:outlineLvl w:val="2"/>
        <w:rPr>
          <w:rFonts w:ascii="Project Sans" w:hAnsi="Project Sans"/>
          <w:sz w:val="24"/>
          <w:szCs w:val="24"/>
          <w:lang w:val="fr-FR"/>
        </w:rPr>
      </w:pPr>
      <w:bookmarkStart w:id="74" w:name="_Toc269728874"/>
      <w:bookmarkStart w:id="75" w:name="_Toc271518527"/>
      <w:r w:rsidRPr="007A61AB">
        <w:rPr>
          <w:rFonts w:ascii="Project Sans" w:hAnsi="Project Sans"/>
          <w:sz w:val="24"/>
          <w:szCs w:val="24"/>
          <w:lang w:val="fr-FR"/>
        </w:rPr>
        <w:t xml:space="preserve">L’ORMVA/SM, dans le cadre de la décentralisation et de la politique de proximité adopté par l’Etat marocain, se dote de subdivisions (Taroudant, Massa, </w:t>
      </w:r>
      <w:proofErr w:type="spellStart"/>
      <w:r w:rsidRPr="007A61AB">
        <w:rPr>
          <w:rFonts w:ascii="Project Sans" w:hAnsi="Project Sans"/>
          <w:sz w:val="24"/>
          <w:szCs w:val="24"/>
          <w:lang w:val="fr-FR"/>
        </w:rPr>
        <w:t>OuledTeima</w:t>
      </w:r>
      <w:proofErr w:type="spellEnd"/>
      <w:r w:rsidRPr="007A61AB">
        <w:rPr>
          <w:rFonts w:ascii="Project Sans" w:hAnsi="Project Sans"/>
          <w:sz w:val="24"/>
          <w:szCs w:val="24"/>
          <w:lang w:val="fr-FR"/>
        </w:rPr>
        <w:t xml:space="preserve">) extérieures dont la structure est une miniature de celle du siège, et qui à leurs tours –chacune dans son ressort territorial -se charge de superviser et animer l’activité des Centres de Mise en Valeur (CMV) chargés de l’intervention agricole et des contrats directs avec les agriculteurs. Et ce, pour seule fin de réduire l’écart et faciliter le contact avec l’agriculteur de la région de </w:t>
      </w:r>
      <w:proofErr w:type="spellStart"/>
      <w:r w:rsidRPr="007A61AB">
        <w:rPr>
          <w:rFonts w:ascii="Project Sans" w:hAnsi="Project Sans"/>
          <w:sz w:val="24"/>
          <w:szCs w:val="24"/>
          <w:lang w:val="fr-FR"/>
        </w:rPr>
        <w:t>souss-massa</w:t>
      </w:r>
      <w:proofErr w:type="spellEnd"/>
      <w:r w:rsidRPr="007A61AB">
        <w:rPr>
          <w:rFonts w:ascii="Project Sans" w:hAnsi="Project Sans"/>
          <w:sz w:val="24"/>
          <w:szCs w:val="24"/>
          <w:lang w:val="fr-FR"/>
        </w:rPr>
        <w:t>, zone d’action de l’office.</w:t>
      </w:r>
      <w:bookmarkEnd w:id="74"/>
      <w:bookmarkEnd w:id="75"/>
    </w:p>
    <w:p w:rsidR="00926D56" w:rsidRPr="007A61AB" w:rsidRDefault="00926D56" w:rsidP="00926D56">
      <w:pPr>
        <w:outlineLvl w:val="2"/>
        <w:rPr>
          <w:rFonts w:ascii="Project Sans" w:hAnsi="Project Sans"/>
          <w:color w:val="A6A6A6" w:themeColor="background1" w:themeShade="A6"/>
          <w:sz w:val="24"/>
          <w:szCs w:val="24"/>
          <w:lang w:val="fr-FR"/>
        </w:rPr>
      </w:pPr>
    </w:p>
    <w:p w:rsidR="008B4ADD" w:rsidRPr="00926D56" w:rsidRDefault="008B4ADD">
      <w:pPr>
        <w:rPr>
          <w:lang w:val="fr-FR"/>
        </w:rPr>
      </w:pPr>
      <w:bookmarkStart w:id="76" w:name="_GoBack"/>
      <w:bookmarkEnd w:id="76"/>
    </w:p>
    <w:sectPr w:rsidR="008B4ADD" w:rsidRPr="00926D5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437" w:rsidRDefault="00044437" w:rsidP="00926D56">
      <w:pPr>
        <w:spacing w:after="0" w:line="240" w:lineRule="auto"/>
      </w:pPr>
      <w:r>
        <w:separator/>
      </w:r>
    </w:p>
  </w:endnote>
  <w:endnote w:type="continuationSeparator" w:id="0">
    <w:p w:rsidR="00044437" w:rsidRDefault="00044437" w:rsidP="00926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oject Sans">
    <w:panose1 w:val="00000300000000000000"/>
    <w:charset w:val="00"/>
    <w:family w:val="auto"/>
    <w:pitch w:val="variable"/>
    <w:sig w:usb0="A000022F" w:usb1="0000205A" w:usb2="00000000" w:usb3="00000000" w:csb0="00000097"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437" w:rsidRDefault="00044437" w:rsidP="00926D56">
      <w:pPr>
        <w:spacing w:after="0" w:line="240" w:lineRule="auto"/>
      </w:pPr>
      <w:r>
        <w:separator/>
      </w:r>
    </w:p>
  </w:footnote>
  <w:footnote w:type="continuationSeparator" w:id="0">
    <w:p w:rsidR="00044437" w:rsidRDefault="00044437" w:rsidP="00926D56">
      <w:pPr>
        <w:spacing w:after="0" w:line="240" w:lineRule="auto"/>
      </w:pPr>
      <w:r>
        <w:continuationSeparator/>
      </w:r>
    </w:p>
  </w:footnote>
  <w:footnote w:id="1">
    <w:p w:rsidR="00926D56" w:rsidRPr="00062785" w:rsidRDefault="00926D56" w:rsidP="00926D56">
      <w:pPr>
        <w:autoSpaceDE w:val="0"/>
        <w:autoSpaceDN w:val="0"/>
        <w:adjustRightInd w:val="0"/>
        <w:rPr>
          <w:rFonts w:ascii="Helvetica-Bold" w:hAnsi="Helvetica-Bold" w:cs="Helvetica-Bold"/>
          <w:sz w:val="16"/>
          <w:szCs w:val="16"/>
          <w:lang w:val="fr-FR"/>
        </w:rPr>
      </w:pPr>
      <w:r>
        <w:rPr>
          <w:rStyle w:val="FootnoteReference"/>
        </w:rPr>
        <w:footnoteRef/>
      </w:r>
      <w:r w:rsidRPr="00062785">
        <w:rPr>
          <w:lang w:val="fr-FR"/>
        </w:rPr>
        <w:t xml:space="preserve"> </w:t>
      </w:r>
      <w:proofErr w:type="spellStart"/>
      <w:r w:rsidRPr="00062785">
        <w:rPr>
          <w:rFonts w:ascii="Helvetica-Bold" w:hAnsi="Helvetica-Bold" w:cs="Helvetica-Bold"/>
          <w:sz w:val="16"/>
          <w:szCs w:val="16"/>
          <w:lang w:val="fr-FR"/>
        </w:rPr>
        <w:t>Négib</w:t>
      </w:r>
      <w:proofErr w:type="spellEnd"/>
      <w:r w:rsidRPr="00062785">
        <w:rPr>
          <w:rFonts w:ascii="Helvetica-Bold" w:hAnsi="Helvetica-Bold" w:cs="Helvetica-Bold"/>
          <w:sz w:val="16"/>
          <w:szCs w:val="16"/>
          <w:lang w:val="fr-FR"/>
        </w:rPr>
        <w:t xml:space="preserve"> </w:t>
      </w:r>
      <w:proofErr w:type="spellStart"/>
      <w:r w:rsidRPr="00062785">
        <w:rPr>
          <w:rFonts w:ascii="Helvetica-Bold" w:hAnsi="Helvetica-Bold" w:cs="Helvetica-Bold"/>
          <w:sz w:val="16"/>
          <w:szCs w:val="16"/>
          <w:lang w:val="fr-FR"/>
        </w:rPr>
        <w:t>Bouderbala</w:t>
      </w:r>
      <w:proofErr w:type="spellEnd"/>
      <w:r w:rsidRPr="00062785">
        <w:rPr>
          <w:rFonts w:ascii="Helvetica-Bold" w:hAnsi="Helvetica-Bold" w:cs="Helvetica-Bold"/>
          <w:sz w:val="16"/>
          <w:szCs w:val="16"/>
          <w:lang w:val="fr-FR"/>
        </w:rPr>
        <w:t>, ‘L’aménagement des grands périmètres irrigués L’expérience marocaine’, CIHEAM - Options Méditerranéennes, p177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33FE3"/>
    <w:multiLevelType w:val="hybridMultilevel"/>
    <w:tmpl w:val="6EF8996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D58F1"/>
    <w:multiLevelType w:val="hybridMultilevel"/>
    <w:tmpl w:val="EB9C5C28"/>
    <w:lvl w:ilvl="0" w:tplc="040C0011">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D51DBE"/>
    <w:multiLevelType w:val="hybridMultilevel"/>
    <w:tmpl w:val="4D286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DC2314"/>
    <w:multiLevelType w:val="hybridMultilevel"/>
    <w:tmpl w:val="9AE6F6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82825"/>
    <w:multiLevelType w:val="hybridMultilevel"/>
    <w:tmpl w:val="ADEA7EBA"/>
    <w:lvl w:ilvl="0" w:tplc="88C0906E">
      <w:start w:val="1"/>
      <w:numFmt w:val="decimal"/>
      <w:lvlText w:val="%1)"/>
      <w:lvlJc w:val="left"/>
      <w:pPr>
        <w:ind w:left="644"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5065DE"/>
    <w:multiLevelType w:val="hybridMultilevel"/>
    <w:tmpl w:val="7B803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CC5E7B"/>
    <w:multiLevelType w:val="hybridMultilevel"/>
    <w:tmpl w:val="E3583AB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0315E8"/>
    <w:multiLevelType w:val="hybridMultilevel"/>
    <w:tmpl w:val="846A5842"/>
    <w:lvl w:ilvl="0" w:tplc="A560C080">
      <w:start w:val="1"/>
      <w:numFmt w:val="decimal"/>
      <w:lvlText w:val="%1."/>
      <w:lvlJc w:val="left"/>
      <w:pPr>
        <w:ind w:left="2422"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8" w15:restartNumberingAfterBreak="0">
    <w:nsid w:val="5652436E"/>
    <w:multiLevelType w:val="hybridMultilevel"/>
    <w:tmpl w:val="0A98CC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33525ED"/>
    <w:multiLevelType w:val="hybridMultilevel"/>
    <w:tmpl w:val="3C9A6A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6B8791F"/>
    <w:multiLevelType w:val="hybridMultilevel"/>
    <w:tmpl w:val="D046A9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7B41F84"/>
    <w:multiLevelType w:val="hybridMultilevel"/>
    <w:tmpl w:val="962EE9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0831F23"/>
    <w:multiLevelType w:val="hybridMultilevel"/>
    <w:tmpl w:val="6722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FB1D71"/>
    <w:multiLevelType w:val="hybridMultilevel"/>
    <w:tmpl w:val="467C99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2"/>
  </w:num>
  <w:num w:numId="5">
    <w:abstractNumId w:val="1"/>
  </w:num>
  <w:num w:numId="6">
    <w:abstractNumId w:val="0"/>
  </w:num>
  <w:num w:numId="7">
    <w:abstractNumId w:val="13"/>
  </w:num>
  <w:num w:numId="8">
    <w:abstractNumId w:val="9"/>
  </w:num>
  <w:num w:numId="9">
    <w:abstractNumId w:val="11"/>
  </w:num>
  <w:num w:numId="10">
    <w:abstractNumId w:val="10"/>
  </w:num>
  <w:num w:numId="11">
    <w:abstractNumId w:val="8"/>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56"/>
    <w:rsid w:val="00044437"/>
    <w:rsid w:val="0049553C"/>
    <w:rsid w:val="00515737"/>
    <w:rsid w:val="00870425"/>
    <w:rsid w:val="008B4ADD"/>
    <w:rsid w:val="00926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B7F8A-E275-4D8B-8594-B7A6CDD5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D56"/>
  </w:style>
  <w:style w:type="paragraph" w:styleId="Heading3">
    <w:name w:val="heading 3"/>
    <w:basedOn w:val="Normal"/>
    <w:next w:val="Normal"/>
    <w:link w:val="Heading3Char"/>
    <w:uiPriority w:val="9"/>
    <w:unhideWhenUsed/>
    <w:qFormat/>
    <w:rsid w:val="00926D56"/>
    <w:pPr>
      <w:keepNext/>
      <w:keepLines/>
      <w:spacing w:before="40" w:after="0"/>
      <w:outlineLvl w:val="2"/>
    </w:pPr>
    <w:rPr>
      <w:rFonts w:asciiTheme="majorHAnsi" w:eastAsiaTheme="majorEastAsia" w:hAnsiTheme="majorHAnsi" w:cstheme="majorBidi"/>
      <w:color w:val="1F4D78" w:themeColor="accent1" w:themeShade="7F"/>
      <w:sz w:val="24"/>
      <w:szCs w:val="24"/>
      <w:lang w:val="fr-FR" w:eastAsia="fr-FR"/>
    </w:rPr>
  </w:style>
  <w:style w:type="paragraph" w:styleId="Heading4">
    <w:name w:val="heading 4"/>
    <w:basedOn w:val="Normal"/>
    <w:next w:val="Normal"/>
    <w:link w:val="Heading4Char"/>
    <w:uiPriority w:val="9"/>
    <w:semiHidden/>
    <w:unhideWhenUsed/>
    <w:qFormat/>
    <w:rsid w:val="00926D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D56"/>
    <w:pPr>
      <w:ind w:left="720"/>
      <w:contextualSpacing/>
    </w:pPr>
  </w:style>
  <w:style w:type="character" w:styleId="FootnoteReference">
    <w:name w:val="footnote reference"/>
    <w:basedOn w:val="DefaultParagraphFont"/>
    <w:semiHidden/>
    <w:unhideWhenUsed/>
    <w:rsid w:val="00926D56"/>
    <w:rPr>
      <w:vertAlign w:val="superscript"/>
    </w:rPr>
  </w:style>
  <w:style w:type="character" w:customStyle="1" w:styleId="Heading3Char">
    <w:name w:val="Heading 3 Char"/>
    <w:basedOn w:val="DefaultParagraphFont"/>
    <w:link w:val="Heading3"/>
    <w:uiPriority w:val="9"/>
    <w:rsid w:val="00926D56"/>
    <w:rPr>
      <w:rFonts w:asciiTheme="majorHAnsi" w:eastAsiaTheme="majorEastAsia" w:hAnsiTheme="majorHAnsi" w:cstheme="majorBidi"/>
      <w:color w:val="1F4D78" w:themeColor="accent1" w:themeShade="7F"/>
      <w:sz w:val="24"/>
      <w:szCs w:val="24"/>
      <w:lang w:val="fr-FR" w:eastAsia="fr-FR"/>
    </w:rPr>
  </w:style>
  <w:style w:type="character" w:customStyle="1" w:styleId="Heading4Char">
    <w:name w:val="Heading 4 Char"/>
    <w:basedOn w:val="DefaultParagraphFont"/>
    <w:link w:val="Heading4"/>
    <w:uiPriority w:val="9"/>
    <w:semiHidden/>
    <w:rsid w:val="00926D5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1</cp:revision>
  <dcterms:created xsi:type="dcterms:W3CDTF">2022-05-25T07:38:00Z</dcterms:created>
  <dcterms:modified xsi:type="dcterms:W3CDTF">2022-05-25T09:44:00Z</dcterms:modified>
</cp:coreProperties>
</file>