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7A3D" w:val="clear"/>
            <w:tcMar>
              <w:top w:type="dxa" w:w="40"/>
              <w:left w:type="dxa" w:w="0"/>
              <w:bottom w:type="dxa" w:w="40"/>
              <w:right w:type="dxa" w:w="0"/>
            </w:tcMar>
          </w:tcPr>
          <w:p>
            <w:r>
              <w:rPr>
                <w:sz w:val="2"/>
                <w:szCs w:val="2"/>
              </w:rPr>
              <w:t xml:space="preserve"> </w:t>
            </w:r>
          </w:p>
        </w:tc>
      </w:tr>
    </w:tbl>
    <w:p>
      <w:pPr>
        <w:spacing w:before="500"/>
      </w:pPr>
    </w:p>
    <w:p>
      <w:pPr>
        <w:jc w:val="center"/>
      </w:pPr>
      <w:r>
        <w:drawing>
          <wp:inline distT="0" distB="0" distL="0" distR="0">
            <wp:extent cx="3000000" cy="1746666"/>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00000" cy="1746666"/>
                    </a:xfrm>
                    <a:prstGeom prst="rect">
                      <a:avLst/>
                    </a:prstGeom>
                  </pic:spPr>
                </pic:pic>
              </a:graphicData>
            </a:graphic>
          </wp:inline>
        </w:drawing>
      </w:r>
    </w:p>
    <w:p>
      <w:pPr>
        <w:spacing w:before="200"/>
        <w:jc w:val="center"/>
      </w:pPr>
      <w:r>
        <w:drawing>
          <wp:inline distT="0" distB="0" distL="0" distR="0">
            <wp:extent cx="1071562" cy="10715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71562" cy="1071562"/>
                    </a:xfrm>
                    <a:prstGeom prst="rect">
                      <a:avLst/>
                    </a:prstGeom>
                  </pic:spPr>
                </pic:pic>
              </a:graphicData>
            </a:graphic>
          </wp:inline>
        </w:drawing>
      </w:r>
    </w:p>
    <w:p>
      <w:pPr>
        <w:pBdr>
          <w:bottom w:val="single" w:color="2FA84F" w:sz="8" w:space="6"/>
        </w:pBdr>
        <w:spacing w:after="60" w:before="240"/>
        <w:jc w:val="center"/>
      </w:pPr>
      <w:r>
        <w:rPr>
          <w:b/>
          <w:bCs/>
          <w:color w:val="1E7A3D"/>
          <w:sz w:val="22"/>
          <w:szCs w:val="22"/>
        </w:rPr>
        <w:t xml:space="preserve">ÉCOLE MAROCAINE DES SCIENCES DE L'INGÉNIEUR</w:t>
      </w:r>
    </w:p>
    <w:p>
      <w:pPr>
        <w:spacing w:after="600" w:before="100"/>
        <w:jc w:val="center"/>
      </w:pPr>
      <w:r>
        <w:rPr>
          <w:color w:val="595959"/>
          <w:sz w:val="22"/>
          <w:szCs w:val="22"/>
        </w:rPr>
        <w:t xml:space="preserve">EMSI Casablanca — Filière Informatique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6ED" w:val="clear"/>
            <w:tcMar>
              <w:top w:type="dxa" w:w="280"/>
              <w:left w:type="dxa" w:w="300"/>
              <w:bottom w:type="dxa" w:w="280"/>
              <w:right w:type="dxa" w:w="300"/>
            </w:tcMar>
          </w:tcPr>
          <w:p>
            <w:pPr>
              <w:jc w:val="center"/>
            </w:pPr>
            <w:r>
              <w:rPr>
                <w:b/>
                <w:bCs/>
                <w:color w:val="1E7A3D"/>
                <w:sz w:val="36"/>
                <w:szCs w:val="36"/>
              </w:rPr>
              <w:t xml:space="preserve">RAPPORT DE PROJET DE FIN DE MODULE</w:t>
            </w:r>
          </w:p>
          <w:p>
            <w:pPr>
              <w:spacing w:before="160"/>
              <w:jc w:val="center"/>
            </w:pPr>
            <w:r>
              <w:rPr>
                <w:b/>
                <w:bCs/>
                <w:color w:val="1A1A1A"/>
                <w:sz w:val="28"/>
                <w:szCs w:val="28"/>
              </w:rPr>
              <w:t xml:space="preserve">Module : Deep Learning</w:t>
            </w:r>
          </w:p>
          <w:p>
            <w:pPr>
              <w:spacing w:before="200"/>
              <w:jc w:val="center"/>
            </w:pPr>
            <w:r>
              <w:rPr>
                <w:i/>
                <w:iCs/>
                <w:color w:val="595959"/>
                <w:sz w:val="22"/>
                <w:szCs w:val="22"/>
              </w:rPr>
              <w:t xml:space="preserve">Conception, implémentation, comparaison et analyse critique de modèles de deep learning pour données tabulaires, images et séquences</w:t>
            </w:r>
          </w:p>
        </w:tc>
      </w:tr>
    </w:tbl>
    <w:p>
      <w:pPr>
        <w:spacing w:before="7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bCs/>
                <w:i w:val="false"/>
                <w:iCs w:val="false"/>
                <w:color w:val="1E7A3D"/>
                <w:sz w:val="20"/>
                <w:szCs w:val="20"/>
              </w:rPr>
              <w:t xml:space="preserve">Réalisé par</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Houda Baih</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bCs/>
                <w:i w:val="false"/>
                <w:iCs w:val="false"/>
                <w:color w:val="1E7A3D"/>
                <w:sz w:val="20"/>
                <w:szCs w:val="20"/>
              </w:rPr>
              <w:t xml:space="preserve">Encadré par</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Battal Mousaab</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bCs/>
                <w:i w:val="false"/>
                <w:iCs w:val="false"/>
                <w:color w:val="1E7A3D"/>
                <w:sz w:val="20"/>
                <w:szCs w:val="20"/>
              </w:rPr>
              <w:t xml:space="preserve">Filière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Informatique — Intelligence Artificielle</w:t>
            </w:r>
          </w:p>
        </w:tc>
      </w:tr>
      <w:tr>
        <w:tc>
          <w:tcPr>
            <w:tcW w:type="dxa" w:w="24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bCs/>
                <w:i w:val="false"/>
                <w:iCs w:val="false"/>
                <w:color w:val="1E7A3D"/>
                <w:sz w:val="20"/>
                <w:szCs w:val="20"/>
              </w:rPr>
              <w:t xml:space="preserve">Année universitaire</w:t>
            </w:r>
          </w:p>
        </w:tc>
        <w:tc>
          <w:tcPr>
            <w:tcW w:type="dxa" w:w="3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b w:val="false"/>
                <w:bCs w:val="false"/>
                <w:i w:val="false"/>
                <w:iCs w:val="false"/>
                <w:sz w:val="20"/>
                <w:szCs w:val="20"/>
              </w:rPr>
              <w:t xml:space="preserve">2025 – 2026</w:t>
            </w:r>
          </w:p>
        </w:tc>
      </w:tr>
    </w:tbl>
    <w:p>
      <w:pPr>
        <w:spacing w:before="900"/>
      </w:pPr>
    </w:p>
    <w:p>
      <w:pPr>
        <w:jc w:val="center"/>
      </w:pPr>
      <w:r>
        <w:rPr>
          <w:color w:val="595959"/>
          <w:sz w:val="18"/>
          <w:szCs w:val="18"/>
        </w:rPr>
        <w:t xml:space="preserve">Python  ·  PyTorch  ·  Google Colab  ·  scikit-learn  ·  Hugging Face Datasets</w:t>
      </w:r>
    </w:p>
    <w:p>
      <w:pPr>
        <w:spacing w:before="1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7A3D" w:val="clear"/>
            <w:tcMar>
              <w:top w:type="dxa" w:w="40"/>
              <w:left w:type="dxa" w:w="0"/>
              <w:bottom w:type="dxa" w:w="40"/>
              <w:right w:type="dxa" w:w="0"/>
            </w:tcMar>
          </w:tcPr>
          <w:p>
            <w:r>
              <w:rPr>
                <w:sz w:val="2"/>
                <w:szCs w:val="2"/>
              </w:rPr>
              <w:t xml:space="preserve"> </w:t>
            </w:r>
          </w:p>
        </w:tc>
      </w:tr>
    </w:tbl>
    <w:p>
      <w:r>
        <w:br w:type="page"/>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pPr>
        <w:pStyle w:val="Heading1"/>
      </w:pPr>
      <w:r>
        <w:t xml:space="preserve">Remerciements</w:t>
      </w:r>
    </w:p>
    <w:p>
      <w:pPr>
        <w:spacing w:after="160"/>
      </w:pPr>
      <w:r>
        <w:t xml:space="preserve">Je tiens à exprimer ma sincère reconnaissance à l'ensemble du corps enseignant du module Deep Learning à l'EMSI Casablanca pour la qualité de l'encadrement pédagogique apporté tout au long de ce projet. Mes remerciements s'adressent en particulier à mon encadrant, M. Battal Mousaab, pour ses conseils méthodologiques, sa disponibilité et la pertinence de ses retours à chaque étape de la réalisation.</w:t>
      </w:r>
    </w:p>
    <w:p>
      <w:pPr>
        <w:spacing w:after="160"/>
      </w:pPr>
      <w:r>
        <w:t xml:space="preserve">Je remercie également l'ensemble des contributeurs aux bibliothèques open-source utilisées dans ce projet (PyTorch, scikit-learn, Hugging Face Datasets), dont la documentation et les outils ont rendu possible la réalisation de ce travail dans l'environnement Google Colab.</w:t>
      </w:r>
    </w:p>
    <w:p>
      <w:pPr>
        <w:pStyle w:val="Heading1"/>
      </w:pPr>
      <w:r>
        <w:t xml:space="preserve">Résumé</w:t>
      </w:r>
    </w:p>
    <w:p>
      <w:pPr>
        <w:spacing w:after="160"/>
      </w:pPr>
      <w:r>
        <w:t xml:space="preserve">Ce rapport présente la conception, l'implémentation et l'analyse critique de trois familles d'architectures de deep learning, appliquées chacune à un type de données distinct, conformément au cahier des charges du module Deep Learning de l'EMSI Casablanca (année universitaire 2025-2026). La première partie porte sur la classification de données tabulaires à l'aide d'un perceptron multicouche (MLP), appliqué au dataset Breast Cancer Wisconsin, et couvre les fondements de l'ingénierie PyTorch (nn.Module, stratégies d'initialisation, sauvegarde/rechargement). La deuxième partie traite de la classification d'images par réseau de neurones convolutionnel (CNN) sur le dataset Fashion-MNIST, avec une implémentation manuelle vérifiée des opérations de corrélation croisée et de pooling. La troisième partie aborde la modélisation de séquences : une tâche de classification de sentiment sur le corpus IMDb à l'aide de RNN, LSTM et GRU, complétée par un système de traduction automatique encodeur-décodeur (Seq2Seq) entraîné sur un corpus parallèle anglais-français.</w:t>
      </w:r>
    </w:p>
    <w:p>
      <w:pPr>
        <w:spacing w:after="160"/>
      </w:pPr>
      <w:r>
        <w:t xml:space="preserve">L'ensemble des expériences a été conduit en Python avec PyTorch, sur l'environnement Google Colab, en suivant pour chaque partie une démarche méthodologique identique en cinq étapes : exploration et préparation des données, conception de l'architecture, implémentation sous PyTorch, entraînement avec suivi des courbes d'apprentissage, puis évaluation quantitative et analyse critique des résultats obtenus. Le rapport se conclut par une discussion transversale mettant en lumière la manière dont chaque architecture encode des hypothèses structurelles différentes — absence de structure a priori pour le MLP, localité spatiale pour le CNN, dépendance temporelle pour les modèles récurrents — adaptées à la géométrie propre de chaque type de données.</w:t>
      </w:r>
    </w:p>
    <w:p>
      <w:r>
        <w:br w:type="page"/>
      </w:r>
    </w:p>
    <w:p>
      <w:pPr>
        <w:pStyle w:val="Heading1"/>
      </w:pPr>
      <w:r>
        <w:t xml:space="preserve">Table des matières</w:t>
      </w:r>
    </w:p>
    <w:p>
      <w:pPr>
        <w:tabs>
          <w:tab w:val="right" w:pos="9638" w:leader="dot"/>
        </w:tabs>
        <w:spacing w:after="100"/>
        <w:ind w:left="0"/>
      </w:pPr>
      <w:r>
        <w:rPr>
          <w:b/>
          <w:bCs/>
          <w:color w:val="1A1A1A"/>
          <w:sz w:val="21"/>
          <w:szCs w:val="21"/>
        </w:rPr>
        <w:t xml:space="preserve">Remerciements</w:t>
      </w:r>
      <w:r>
        <w:rPr>
          <w:color w:val="1A1A1A"/>
          <w:sz w:val="21"/>
          <w:szCs w:val="21"/>
        </w:rPr>
        <w:t xml:space="preserve">	2</w:t>
      </w:r>
    </w:p>
    <w:p>
      <w:pPr>
        <w:tabs>
          <w:tab w:val="right" w:pos="9638" w:leader="dot"/>
        </w:tabs>
        <w:spacing w:after="100"/>
        <w:ind w:left="0"/>
      </w:pPr>
      <w:r>
        <w:rPr>
          <w:b/>
          <w:bCs/>
          <w:color w:val="1A1A1A"/>
          <w:sz w:val="21"/>
          <w:szCs w:val="21"/>
        </w:rPr>
        <w:t xml:space="preserve">Résumé</w:t>
      </w:r>
      <w:r>
        <w:rPr>
          <w:color w:val="1A1A1A"/>
          <w:sz w:val="21"/>
          <w:szCs w:val="21"/>
        </w:rPr>
        <w:t xml:space="preserve">	2</w:t>
      </w:r>
    </w:p>
    <w:p>
      <w:pPr>
        <w:tabs>
          <w:tab w:val="right" w:pos="9638" w:leader="dot"/>
        </w:tabs>
        <w:spacing w:after="60"/>
        <w:ind w:left="0"/>
      </w:pPr>
      <w:r>
        <w:rPr>
          <w:b/>
          <w:bCs/>
          <w:color w:val="1A1A1A"/>
          <w:sz w:val="21"/>
          <w:szCs w:val="21"/>
        </w:rPr>
        <w:t xml:space="preserve">1. Introduction générale</w:t>
      </w:r>
      <w:r>
        <w:rPr>
          <w:color w:val="1A1A1A"/>
          <w:sz w:val="21"/>
          <w:szCs w:val="21"/>
        </w:rPr>
        <w:t xml:space="preserve">	4</w:t>
      </w:r>
    </w:p>
    <w:p>
      <w:pPr>
        <w:tabs>
          <w:tab w:val="right" w:pos="9638" w:leader="dot"/>
        </w:tabs>
        <w:spacing w:after="100"/>
        <w:ind w:left="280"/>
      </w:pPr>
      <w:r>
        <w:rPr>
          <w:b w:val="false"/>
          <w:bCs w:val="false"/>
          <w:color w:val="1A1A1A"/>
          <w:sz w:val="21"/>
          <w:szCs w:val="21"/>
        </w:rPr>
        <w:t xml:space="preserve">Démarche méthodologique commune</w:t>
      </w:r>
      <w:r>
        <w:rPr>
          <w:color w:val="1A1A1A"/>
          <w:sz w:val="21"/>
          <w:szCs w:val="21"/>
        </w:rPr>
        <w:t xml:space="preserve">	4</w:t>
      </w:r>
    </w:p>
    <w:p>
      <w:pPr>
        <w:tabs>
          <w:tab w:val="right" w:pos="9638" w:leader="dot"/>
        </w:tabs>
        <w:spacing w:after="60"/>
        <w:ind w:left="0"/>
      </w:pPr>
      <w:r>
        <w:rPr>
          <w:b/>
          <w:bCs/>
          <w:color w:val="1A1A1A"/>
          <w:sz w:val="21"/>
          <w:szCs w:val="21"/>
        </w:rPr>
        <w:t xml:space="preserve">2. Partie I — MLP et ingénierie PyTorch pour données tabulaires</w:t>
      </w:r>
      <w:r>
        <w:rPr>
          <w:color w:val="1A1A1A"/>
          <w:sz w:val="21"/>
          <w:szCs w:val="21"/>
        </w:rPr>
        <w:t xml:space="preserve">	5</w:t>
      </w:r>
    </w:p>
    <w:p>
      <w:pPr>
        <w:tabs>
          <w:tab w:val="right" w:pos="9638" w:leader="dot"/>
        </w:tabs>
        <w:spacing w:after="100"/>
        <w:ind w:left="280"/>
      </w:pPr>
      <w:r>
        <w:rPr>
          <w:b w:val="false"/>
          <w:bCs w:val="false"/>
          <w:color w:val="1A1A1A"/>
          <w:sz w:val="21"/>
          <w:szCs w:val="21"/>
        </w:rPr>
        <w:t xml:space="preserve">2.1 Présentation théorique</w:t>
      </w:r>
      <w:r>
        <w:rPr>
          <w:color w:val="1A1A1A"/>
          <w:sz w:val="21"/>
          <w:szCs w:val="21"/>
        </w:rPr>
        <w:t xml:space="preserve">	5</w:t>
      </w:r>
    </w:p>
    <w:p>
      <w:pPr>
        <w:tabs>
          <w:tab w:val="right" w:pos="9638" w:leader="dot"/>
        </w:tabs>
        <w:spacing w:after="100"/>
        <w:ind w:left="280"/>
      </w:pPr>
      <w:r>
        <w:rPr>
          <w:b w:val="false"/>
          <w:bCs w:val="false"/>
          <w:color w:val="1A1A1A"/>
          <w:sz w:val="21"/>
          <w:szCs w:val="21"/>
        </w:rPr>
        <w:t xml:space="preserve">2.2 Étape 1 — Exploration et préparation des données</w:t>
      </w:r>
      <w:r>
        <w:rPr>
          <w:color w:val="1A1A1A"/>
          <w:sz w:val="21"/>
          <w:szCs w:val="21"/>
        </w:rPr>
        <w:t xml:space="preserve">	6</w:t>
      </w:r>
    </w:p>
    <w:p>
      <w:pPr>
        <w:tabs>
          <w:tab w:val="right" w:pos="9638" w:leader="dot"/>
        </w:tabs>
        <w:spacing w:after="100"/>
        <w:ind w:left="280"/>
      </w:pPr>
      <w:r>
        <w:rPr>
          <w:b w:val="false"/>
          <w:bCs w:val="false"/>
          <w:color w:val="1A1A1A"/>
          <w:sz w:val="21"/>
          <w:szCs w:val="21"/>
        </w:rPr>
        <w:t xml:space="preserve">2.3 Étape 2 et 3 — Conception et implémentation de l'architecture</w:t>
      </w:r>
      <w:r>
        <w:rPr>
          <w:color w:val="1A1A1A"/>
          <w:sz w:val="21"/>
          <w:szCs w:val="21"/>
        </w:rPr>
        <w:t xml:space="preserve">	6</w:t>
      </w:r>
    </w:p>
    <w:p>
      <w:pPr>
        <w:tabs>
          <w:tab w:val="right" w:pos="9638" w:leader="dot"/>
        </w:tabs>
        <w:spacing w:after="100"/>
        <w:ind w:left="280"/>
      </w:pPr>
      <w:r>
        <w:rPr>
          <w:b w:val="false"/>
          <w:bCs w:val="false"/>
          <w:color w:val="1A1A1A"/>
          <w:sz w:val="21"/>
          <w:szCs w:val="21"/>
        </w:rPr>
        <w:t xml:space="preserve">2.4 Inspection des paramètres, initialisation et device</w:t>
      </w:r>
      <w:r>
        <w:rPr>
          <w:color w:val="1A1A1A"/>
          <w:sz w:val="21"/>
          <w:szCs w:val="21"/>
        </w:rPr>
        <w:t xml:space="preserve">	7</w:t>
      </w:r>
    </w:p>
    <w:p>
      <w:pPr>
        <w:tabs>
          <w:tab w:val="right" w:pos="9638" w:leader="dot"/>
        </w:tabs>
        <w:spacing w:after="100"/>
        <w:ind w:left="280"/>
      </w:pPr>
      <w:r>
        <w:rPr>
          <w:b w:val="false"/>
          <w:bCs w:val="false"/>
          <w:color w:val="1A1A1A"/>
          <w:sz w:val="21"/>
          <w:szCs w:val="21"/>
        </w:rPr>
        <w:t xml:space="preserve">2.5 Étape 4 — Entraînement et résultats expérimentaux</w:t>
      </w:r>
      <w:r>
        <w:rPr>
          <w:color w:val="1A1A1A"/>
          <w:sz w:val="21"/>
          <w:szCs w:val="21"/>
        </w:rPr>
        <w:t xml:space="preserve">	7</w:t>
      </w:r>
    </w:p>
    <w:p>
      <w:pPr>
        <w:tabs>
          <w:tab w:val="right" w:pos="9638" w:leader="dot"/>
        </w:tabs>
        <w:spacing w:after="100"/>
        <w:ind w:left="280"/>
      </w:pPr>
      <w:r>
        <w:rPr>
          <w:b w:val="false"/>
          <w:bCs w:val="false"/>
          <w:color w:val="1A1A1A"/>
          <w:sz w:val="21"/>
          <w:szCs w:val="21"/>
        </w:rPr>
        <w:t xml:space="preserve">2.6 Étape 5 — Analyse critique</w:t>
      </w:r>
      <w:r>
        <w:rPr>
          <w:color w:val="1A1A1A"/>
          <w:sz w:val="21"/>
          <w:szCs w:val="21"/>
        </w:rPr>
        <w:t xml:space="preserve">	10</w:t>
      </w:r>
    </w:p>
    <w:p>
      <w:pPr>
        <w:tabs>
          <w:tab w:val="right" w:pos="9638" w:leader="dot"/>
        </w:tabs>
        <w:spacing w:after="100"/>
        <w:ind w:left="280"/>
      </w:pPr>
      <w:r>
        <w:rPr>
          <w:b w:val="false"/>
          <w:bCs w:val="false"/>
          <w:color w:val="1A1A1A"/>
          <w:sz w:val="21"/>
          <w:szCs w:val="21"/>
        </w:rPr>
        <w:t xml:space="preserve">2.7 Question de synthèse — Partie I</w:t>
      </w:r>
      <w:r>
        <w:rPr>
          <w:color w:val="1A1A1A"/>
          <w:sz w:val="21"/>
          <w:szCs w:val="21"/>
        </w:rPr>
        <w:t xml:space="preserve">	10</w:t>
      </w:r>
    </w:p>
    <w:p>
      <w:pPr>
        <w:tabs>
          <w:tab w:val="right" w:pos="9638" w:leader="dot"/>
        </w:tabs>
        <w:spacing w:after="60"/>
        <w:ind w:left="0"/>
      </w:pPr>
      <w:r>
        <w:rPr>
          <w:b/>
          <w:bCs/>
          <w:color w:val="1A1A1A"/>
          <w:sz w:val="21"/>
          <w:szCs w:val="21"/>
        </w:rPr>
        <w:t xml:space="preserve">3. Partie II — CNN et vision par ordinateur</w:t>
      </w:r>
      <w:r>
        <w:rPr>
          <w:color w:val="1A1A1A"/>
          <w:sz w:val="21"/>
          <w:szCs w:val="21"/>
        </w:rPr>
        <w:t xml:space="preserve">	11</w:t>
      </w:r>
    </w:p>
    <w:p>
      <w:pPr>
        <w:tabs>
          <w:tab w:val="right" w:pos="9638" w:leader="dot"/>
        </w:tabs>
        <w:spacing w:after="100"/>
        <w:ind w:left="280"/>
      </w:pPr>
      <w:r>
        <w:rPr>
          <w:b w:val="false"/>
          <w:bCs w:val="false"/>
          <w:color w:val="1A1A1A"/>
          <w:sz w:val="21"/>
          <w:szCs w:val="21"/>
        </w:rPr>
        <w:t xml:space="preserve">3.1 Présentation théorique</w:t>
      </w:r>
      <w:r>
        <w:rPr>
          <w:color w:val="1A1A1A"/>
          <w:sz w:val="21"/>
          <w:szCs w:val="21"/>
        </w:rPr>
        <w:t xml:space="preserve">	11</w:t>
      </w:r>
    </w:p>
    <w:p>
      <w:pPr>
        <w:tabs>
          <w:tab w:val="right" w:pos="9638" w:leader="dot"/>
        </w:tabs>
        <w:spacing w:after="100"/>
        <w:ind w:left="280"/>
      </w:pPr>
      <w:r>
        <w:rPr>
          <w:b w:val="false"/>
          <w:bCs w:val="false"/>
          <w:color w:val="1A1A1A"/>
          <w:sz w:val="21"/>
          <w:szCs w:val="21"/>
        </w:rPr>
        <w:t xml:space="preserve">3.2 Étape 1 et 2 — Implémentation manuelle des opérations fondamentales</w:t>
      </w:r>
      <w:r>
        <w:rPr>
          <w:color w:val="1A1A1A"/>
          <w:sz w:val="21"/>
          <w:szCs w:val="21"/>
        </w:rPr>
        <w:t xml:space="preserve">	11</w:t>
      </w:r>
    </w:p>
    <w:p>
      <w:pPr>
        <w:tabs>
          <w:tab w:val="right" w:pos="9638" w:leader="dot"/>
        </w:tabs>
        <w:spacing w:after="100"/>
        <w:ind w:left="280"/>
      </w:pPr>
      <w:r>
        <w:rPr>
          <w:b w:val="false"/>
          <w:bCs w:val="false"/>
          <w:color w:val="1A1A1A"/>
          <w:sz w:val="21"/>
          <w:szCs w:val="21"/>
        </w:rPr>
        <w:t xml:space="preserve">3.3 Étape 2 et 3 — Architecture CNN (variante de LeNet)</w:t>
      </w:r>
      <w:r>
        <w:rPr>
          <w:color w:val="1A1A1A"/>
          <w:sz w:val="21"/>
          <w:szCs w:val="21"/>
        </w:rPr>
        <w:t xml:space="preserve">	12</w:t>
      </w:r>
    </w:p>
    <w:p>
      <w:pPr>
        <w:tabs>
          <w:tab w:val="right" w:pos="9638" w:leader="dot"/>
        </w:tabs>
        <w:spacing w:after="100"/>
        <w:ind w:left="280"/>
      </w:pPr>
      <w:r>
        <w:rPr>
          <w:b w:val="false"/>
          <w:bCs w:val="false"/>
          <w:color w:val="1A1A1A"/>
          <w:sz w:val="21"/>
          <w:szCs w:val="21"/>
        </w:rPr>
        <w:t xml:space="preserve">3.4 Étape 4 — Entraînement et étude expérimentale</w:t>
      </w:r>
      <w:r>
        <w:rPr>
          <w:color w:val="1A1A1A"/>
          <w:sz w:val="21"/>
          <w:szCs w:val="21"/>
        </w:rPr>
        <w:t xml:space="preserve">	13</w:t>
      </w:r>
    </w:p>
    <w:p>
      <w:pPr>
        <w:tabs>
          <w:tab w:val="right" w:pos="9638" w:leader="dot"/>
        </w:tabs>
        <w:spacing w:after="100"/>
        <w:ind w:left="280"/>
      </w:pPr>
      <w:r>
        <w:rPr>
          <w:b w:val="false"/>
          <w:bCs w:val="false"/>
          <w:color w:val="1A1A1A"/>
          <w:sz w:val="21"/>
          <w:szCs w:val="21"/>
        </w:rPr>
        <w:t xml:space="preserve">3.5 Étape 5 — Analyse critique</w:t>
      </w:r>
      <w:r>
        <w:rPr>
          <w:color w:val="1A1A1A"/>
          <w:sz w:val="21"/>
          <w:szCs w:val="21"/>
        </w:rPr>
        <w:t xml:space="preserve">	14</w:t>
      </w:r>
    </w:p>
    <w:p>
      <w:pPr>
        <w:tabs>
          <w:tab w:val="right" w:pos="9638" w:leader="dot"/>
        </w:tabs>
        <w:spacing w:after="100"/>
        <w:ind w:left="280"/>
      </w:pPr>
      <w:r>
        <w:rPr>
          <w:b w:val="false"/>
          <w:bCs w:val="false"/>
          <w:color w:val="1A1A1A"/>
          <w:sz w:val="21"/>
          <w:szCs w:val="21"/>
        </w:rPr>
        <w:t xml:space="preserve">3.6 Question de synthèse — Partie II</w:t>
      </w:r>
      <w:r>
        <w:rPr>
          <w:color w:val="1A1A1A"/>
          <w:sz w:val="21"/>
          <w:szCs w:val="21"/>
        </w:rPr>
        <w:t xml:space="preserve">	15</w:t>
      </w:r>
    </w:p>
    <w:p>
      <w:pPr>
        <w:tabs>
          <w:tab w:val="right" w:pos="9638" w:leader="dot"/>
        </w:tabs>
        <w:spacing w:after="60"/>
        <w:ind w:left="0"/>
      </w:pPr>
      <w:r>
        <w:rPr>
          <w:b/>
          <w:bCs/>
          <w:color w:val="1A1A1A"/>
          <w:sz w:val="21"/>
          <w:szCs w:val="21"/>
        </w:rPr>
        <w:t xml:space="preserve">4. Partie III — RNN, LSTM, GRU et Seq2Seq</w:t>
      </w:r>
      <w:r>
        <w:rPr>
          <w:color w:val="1A1A1A"/>
          <w:sz w:val="21"/>
          <w:szCs w:val="21"/>
        </w:rPr>
        <w:t xml:space="preserve">	16</w:t>
      </w:r>
    </w:p>
    <w:p>
      <w:pPr>
        <w:tabs>
          <w:tab w:val="right" w:pos="9638" w:leader="dot"/>
        </w:tabs>
        <w:spacing w:after="100"/>
        <w:ind w:left="280"/>
      </w:pPr>
      <w:r>
        <w:rPr>
          <w:b w:val="false"/>
          <w:bCs w:val="false"/>
          <w:color w:val="1A1A1A"/>
          <w:sz w:val="21"/>
          <w:szCs w:val="21"/>
        </w:rPr>
        <w:t xml:space="preserve">4.1 Présentation théorique</w:t>
      </w:r>
      <w:r>
        <w:rPr>
          <w:color w:val="1A1A1A"/>
          <w:sz w:val="21"/>
          <w:szCs w:val="21"/>
        </w:rPr>
        <w:t xml:space="preserve">	16</w:t>
      </w:r>
    </w:p>
    <w:p>
      <w:pPr>
        <w:tabs>
          <w:tab w:val="right" w:pos="9638" w:leader="dot"/>
        </w:tabs>
        <w:spacing w:after="100"/>
        <w:ind w:left="280"/>
      </w:pPr>
      <w:r>
        <w:rPr>
          <w:b w:val="false"/>
          <w:bCs w:val="false"/>
          <w:color w:val="1A1A1A"/>
          <w:sz w:val="21"/>
          <w:szCs w:val="21"/>
        </w:rPr>
        <w:t xml:space="preserve">4.2 Étape 1 — Préparation des données (IMDb)</w:t>
      </w:r>
      <w:r>
        <w:rPr>
          <w:color w:val="1A1A1A"/>
          <w:sz w:val="21"/>
          <w:szCs w:val="21"/>
        </w:rPr>
        <w:t xml:space="preserve">	16</w:t>
      </w:r>
    </w:p>
    <w:p>
      <w:pPr>
        <w:tabs>
          <w:tab w:val="right" w:pos="9638" w:leader="dot"/>
        </w:tabs>
        <w:spacing w:after="100"/>
        <w:ind w:left="280"/>
      </w:pPr>
      <w:r>
        <w:rPr>
          <w:b w:val="false"/>
          <w:bCs w:val="false"/>
          <w:color w:val="1A1A1A"/>
          <w:sz w:val="21"/>
          <w:szCs w:val="21"/>
        </w:rPr>
        <w:t xml:space="preserve">4.3 Étape 2 et 3 — Conception et implémentation de l'architecture</w:t>
      </w:r>
      <w:r>
        <w:rPr>
          <w:color w:val="1A1A1A"/>
          <w:sz w:val="21"/>
          <w:szCs w:val="21"/>
        </w:rPr>
        <w:t xml:space="preserve">	17</w:t>
      </w:r>
    </w:p>
    <w:p>
      <w:pPr>
        <w:tabs>
          <w:tab w:val="right" w:pos="9638" w:leader="dot"/>
        </w:tabs>
        <w:spacing w:after="100"/>
        <w:ind w:left="280"/>
      </w:pPr>
      <w:r>
        <w:rPr>
          <w:b w:val="false"/>
          <w:bCs w:val="false"/>
          <w:color w:val="1A1A1A"/>
          <w:sz w:val="21"/>
          <w:szCs w:val="21"/>
        </w:rPr>
        <w:t xml:space="preserve">4.4 Étape 4 — Entraînement et résultats expérimentaux</w:t>
      </w:r>
      <w:r>
        <w:rPr>
          <w:color w:val="1A1A1A"/>
          <w:sz w:val="21"/>
          <w:szCs w:val="21"/>
        </w:rPr>
        <w:t xml:space="preserve">	18</w:t>
      </w:r>
    </w:p>
    <w:p>
      <w:pPr>
        <w:tabs>
          <w:tab w:val="right" w:pos="9638" w:leader="dot"/>
        </w:tabs>
        <w:spacing w:after="100"/>
        <w:ind w:left="280"/>
      </w:pPr>
      <w:r>
        <w:rPr>
          <w:b w:val="false"/>
          <w:bCs w:val="false"/>
          <w:color w:val="1A1A1A"/>
          <w:sz w:val="21"/>
          <w:szCs w:val="21"/>
        </w:rPr>
        <w:t xml:space="preserve">4.5 Étape 5 — Analyse critique (partielle)</w:t>
      </w:r>
      <w:r>
        <w:rPr>
          <w:color w:val="1A1A1A"/>
          <w:sz w:val="21"/>
          <w:szCs w:val="21"/>
        </w:rPr>
        <w:t xml:space="preserve">	18</w:t>
      </w:r>
    </w:p>
    <w:p>
      <w:pPr>
        <w:tabs>
          <w:tab w:val="right" w:pos="9638" w:leader="dot"/>
        </w:tabs>
        <w:spacing w:after="100"/>
        <w:ind w:left="280"/>
      </w:pPr>
      <w:r>
        <w:rPr>
          <w:b w:val="false"/>
          <w:bCs w:val="false"/>
          <w:color w:val="1A1A1A"/>
          <w:sz w:val="21"/>
          <w:szCs w:val="21"/>
        </w:rPr>
        <w:t xml:space="preserve">4.6 Question de synthèse — Partie III (RNN/LSTM/GRU)</w:t>
      </w:r>
      <w:r>
        <w:rPr>
          <w:color w:val="1A1A1A"/>
          <w:sz w:val="21"/>
          <w:szCs w:val="21"/>
        </w:rPr>
        <w:t xml:space="preserve">	18</w:t>
      </w:r>
    </w:p>
    <w:p>
      <w:pPr>
        <w:tabs>
          <w:tab w:val="right" w:pos="9638" w:leader="dot"/>
        </w:tabs>
        <w:spacing w:after="100"/>
        <w:ind w:left="280"/>
      </w:pPr>
      <w:r>
        <w:rPr>
          <w:b w:val="false"/>
          <w:bCs w:val="false"/>
          <w:color w:val="1A1A1A"/>
          <w:sz w:val="21"/>
          <w:szCs w:val="21"/>
        </w:rPr>
        <w:t xml:space="preserve">4.7 Système Seq2Seq encodeur-décodeur</w:t>
      </w:r>
      <w:r>
        <w:rPr>
          <w:color w:val="1A1A1A"/>
          <w:sz w:val="21"/>
          <w:szCs w:val="21"/>
        </w:rPr>
        <w:t xml:space="preserve">	19</w:t>
      </w:r>
    </w:p>
    <w:p>
      <w:pPr>
        <w:tabs>
          <w:tab w:val="right" w:pos="9638" w:leader="dot"/>
        </w:tabs>
        <w:spacing w:after="100"/>
        <w:ind w:left="280"/>
      </w:pPr>
      <w:r>
        <w:rPr>
          <w:b w:val="false"/>
          <w:bCs w:val="false"/>
          <w:color w:val="1A1A1A"/>
          <w:sz w:val="21"/>
          <w:szCs w:val="21"/>
        </w:rPr>
        <w:t xml:space="preserve">4.8 Résultats expérimentaux (Seq2Seq)</w:t>
      </w:r>
      <w:r>
        <w:rPr>
          <w:color w:val="1A1A1A"/>
          <w:sz w:val="21"/>
          <w:szCs w:val="21"/>
        </w:rPr>
        <w:t xml:space="preserve">	20</w:t>
      </w:r>
    </w:p>
    <w:p>
      <w:pPr>
        <w:tabs>
          <w:tab w:val="right" w:pos="9638" w:leader="dot"/>
        </w:tabs>
        <w:spacing w:after="100"/>
        <w:ind w:left="280"/>
      </w:pPr>
      <w:r>
        <w:rPr>
          <w:b w:val="false"/>
          <w:bCs w:val="false"/>
          <w:color w:val="1A1A1A"/>
          <w:sz w:val="21"/>
          <w:szCs w:val="21"/>
        </w:rPr>
        <w:t xml:space="preserve">4.9 Analyse critique (Seq2Seq)</w:t>
      </w:r>
      <w:r>
        <w:rPr>
          <w:color w:val="1A1A1A"/>
          <w:sz w:val="21"/>
          <w:szCs w:val="21"/>
        </w:rPr>
        <w:t xml:space="preserve">	21</w:t>
      </w:r>
    </w:p>
    <w:p>
      <w:pPr>
        <w:tabs>
          <w:tab w:val="right" w:pos="9638" w:leader="dot"/>
        </w:tabs>
        <w:spacing w:after="100"/>
        <w:ind w:left="280"/>
      </w:pPr>
      <w:r>
        <w:rPr>
          <w:b w:val="false"/>
          <w:bCs w:val="false"/>
          <w:color w:val="1A1A1A"/>
          <w:sz w:val="21"/>
          <w:szCs w:val="21"/>
        </w:rPr>
        <w:t xml:space="preserve">4.10 Question de synthèse complémentaire — Seq2Seq</w:t>
      </w:r>
      <w:r>
        <w:rPr>
          <w:color w:val="1A1A1A"/>
          <w:sz w:val="21"/>
          <w:szCs w:val="21"/>
        </w:rPr>
        <w:t xml:space="preserve">	21</w:t>
      </w:r>
    </w:p>
    <w:p>
      <w:pPr>
        <w:tabs>
          <w:tab w:val="right" w:pos="9638" w:leader="dot"/>
        </w:tabs>
        <w:spacing w:after="100"/>
        <w:ind w:left="0"/>
      </w:pPr>
      <w:r>
        <w:rPr>
          <w:b/>
          <w:bCs/>
          <w:color w:val="1A1A1A"/>
          <w:sz w:val="21"/>
          <w:szCs w:val="21"/>
        </w:rPr>
        <w:t xml:space="preserve">5. Discussion transversale finale</w:t>
      </w:r>
      <w:r>
        <w:rPr>
          <w:color w:val="1A1A1A"/>
          <w:sz w:val="21"/>
          <w:szCs w:val="21"/>
        </w:rPr>
        <w:t xml:space="preserve">	22</w:t>
      </w:r>
    </w:p>
    <w:p>
      <w:pPr>
        <w:tabs>
          <w:tab w:val="right" w:pos="9638" w:leader="dot"/>
        </w:tabs>
        <w:spacing w:after="100"/>
        <w:ind w:left="0"/>
      </w:pPr>
      <w:r>
        <w:rPr>
          <w:b/>
          <w:bCs/>
          <w:color w:val="1A1A1A"/>
          <w:sz w:val="21"/>
          <w:szCs w:val="21"/>
        </w:rPr>
        <w:t xml:space="preserve">6. Conclusion générale</w:t>
      </w:r>
      <w:r>
        <w:rPr>
          <w:color w:val="1A1A1A"/>
          <w:sz w:val="21"/>
          <w:szCs w:val="21"/>
        </w:rPr>
        <w:t xml:space="preserve">	23</w:t>
      </w:r>
    </w:p>
    <w:p>
      <w:pPr>
        <w:tabs>
          <w:tab w:val="right" w:pos="9638" w:leader="dot"/>
        </w:tabs>
        <w:spacing w:after="100"/>
        <w:ind w:left="0"/>
      </w:pPr>
      <w:r>
        <w:rPr>
          <w:b/>
          <w:bCs/>
          <w:color w:val="1A1A1A"/>
          <w:sz w:val="21"/>
          <w:szCs w:val="21"/>
        </w:rPr>
        <w:t xml:space="preserve">7. Bibliographie</w:t>
      </w:r>
      <w:r>
        <w:rPr>
          <w:color w:val="1A1A1A"/>
          <w:sz w:val="21"/>
          <w:szCs w:val="21"/>
        </w:rPr>
        <w:t xml:space="preserve">	24</w:t>
      </w:r>
    </w:p>
    <w:p>
      <w:r>
        <w:br w:type="page"/>
      </w:r>
    </w:p>
    <w:p>
      <w:pPr>
        <w:pStyle w:val="Heading1"/>
      </w:pPr>
      <w:r>
        <w:t xml:space="preserve">1. Introduction générale</w:t>
      </w:r>
    </w:p>
    <w:p>
      <w:pPr>
        <w:spacing w:after="160"/>
      </w:pPr>
      <w:r>
        <w:t xml:space="preserve">Le deep learning regroupe une famille de méthodes d'apprentissage automatique fondées sur des réseaux de neurones à plusieurs couches, capables d'apprendre des représentations hiérarchiques directement à partir des données. Si le principe d'apprentissage par descente de gradient et rétropropagation reste commun à toutes ces méthodes, le choix de l'architecture neuronale n'est pas neutre : il doit refléter la structure intrinsèque des données traitées.</w:t>
      </w:r>
    </w:p>
    <w:p>
      <w:pPr>
        <w:spacing w:after="160"/>
      </w:pPr>
      <w:r>
        <w:t xml:space="preserve">Ce projet a pour objectif d'illustrer cette adéquation entre architecture et structure des données à travers trois cas d'usage complémentaires. Les données tabulaires, dépourvues de structure spatiale ou temporelle explicite entre leurs variables, sont traitées par un perceptron multicouche (MLP), modèle ne faisant aucune hypothèse a priori sur l'organisation des entrées. Les images, qui présentent une forte corrélation locale entre pixels voisins, sont traitées par un réseau de neurones convolutionnel (CNN), exploitant les principes de localité et de partage des poids. Les séquences textuelles, enfin, présentent une dépendance temporelle où l'ordre des éléments porte une information cruciale ; elles sont traitées par des architectures récurrentes (RNN, LSTM, GRU) et par un schéma encodeur-décodeur (Seq2Seq) pour la tâche de traduction automatique.</w:t>
      </w:r>
    </w:p>
    <w:p>
      <w:pPr>
        <w:pStyle w:val="Heading2"/>
      </w:pPr>
      <w:r>
        <w:t xml:space="preserve">Démarche méthodologique commune</w:t>
      </w:r>
    </w:p>
    <w:p>
      <w:pPr>
        <w:spacing w:after="160"/>
      </w:pPr>
      <w:r>
        <w:t xml:space="preserve">Afin de garantir la comparabilité des résultats et la rigueur de l'analyse, chaque partie du rapport suit rigoureusement la même progression en cinq étapes, détaillée ci-dessous :</w:t>
      </w:r>
    </w:p>
    <w:p>
      <w:pPr>
        <w:pStyle w:val="ListParagraph"/>
        <w:numPr>
          <w:ilvl w:val="0"/>
          <w:numId w:val="2"/>
        </w:numPr>
        <w:spacing w:after="90"/>
      </w:pPr>
      <w:r>
        <w:rPr>
          <w:b/>
          <w:bCs/>
        </w:rPr>
        <w:t xml:space="preserve">Étape 1 — Exploration et préparation des données. </w:t>
      </w:r>
      <w:r>
        <w:t xml:space="preserve">Chargement du dataset, vérification de l'absence de valeurs manquantes ou aberrantes, calcul de statistiques descriptives, puis découpage en ensembles d'entraînement, de validation et de test, avec normalisation ou tokenisation selon la nature des données.</w:t>
      </w:r>
    </w:p>
    <w:p>
      <w:pPr>
        <w:pStyle w:val="ListParagraph"/>
        <w:numPr>
          <w:ilvl w:val="0"/>
          <w:numId w:val="2"/>
        </w:numPr>
        <w:spacing w:after="90"/>
      </w:pPr>
      <w:r>
        <w:rPr>
          <w:b/>
          <w:bCs/>
        </w:rPr>
        <w:t xml:space="preserve">Étape 2 — Conception de l'architecture. </w:t>
      </w:r>
      <w:r>
        <w:t xml:space="preserve">Choix justifié de la famille de modèle (MLP, CNN ou RNN/LSTM/GRU), définition des hyperparamètres structurels (nombre de couches, dimensions cachées, fonctions d'activation, régularisation) et vérification théorique des dimensions à chaque couche.</w:t>
      </w:r>
    </w:p>
    <w:p>
      <w:pPr>
        <w:pStyle w:val="ListParagraph"/>
        <w:numPr>
          <w:ilvl w:val="0"/>
          <w:numId w:val="2"/>
        </w:numPr>
        <w:spacing w:after="90"/>
      </w:pPr>
      <w:r>
        <w:rPr>
          <w:b/>
          <w:bCs/>
        </w:rPr>
        <w:t xml:space="preserve">Étape 3 — Implémentation sous PyTorch. </w:t>
      </w:r>
      <w:r>
        <w:t xml:space="preserve">Écriture du code (classe héritant de nn.Module ou nn.Sequential), instanciation de l'optimiseur et de la fonction de perte adaptés à la tâche, puis vérification du bon fonctionnement par un passage avant (forward pass) sur un batch test avant le lancement de l'entraînement complet.</w:t>
      </w:r>
    </w:p>
    <w:p>
      <w:pPr>
        <w:pStyle w:val="ListParagraph"/>
        <w:numPr>
          <w:ilvl w:val="0"/>
          <w:numId w:val="2"/>
        </w:numPr>
        <w:spacing w:after="90"/>
      </w:pPr>
      <w:r>
        <w:rPr>
          <w:b/>
          <w:bCs/>
        </w:rPr>
        <w:t xml:space="preserve">Étape 4 — Entraînement et suivi expérimental. </w:t>
      </w:r>
      <w:r>
        <w:t xml:space="preserve">Exécution de la boucle d'entraînement sur l'environnement Google Colab, avec suivi à chaque epoch de la perte et de l'accuracy sur les ensembles d'entraînement et de validation, sauvegarde du meilleur modèle au sens de la validation loss, et arrêt anticipé (early stopping) en cas de stagnation.</w:t>
      </w:r>
    </w:p>
    <w:p>
      <w:pPr>
        <w:pStyle w:val="ListParagraph"/>
        <w:numPr>
          <w:ilvl w:val="0"/>
          <w:numId w:val="2"/>
        </w:numPr>
        <w:spacing w:after="90"/>
      </w:pPr>
      <w:r>
        <w:rPr>
          <w:b/>
          <w:bCs/>
        </w:rPr>
        <w:t xml:space="preserve">Étape 5 — Évaluation et analyse critique. </w:t>
      </w:r>
      <w:r>
        <w:t xml:space="preserve">Calcul des métriques finales sur le jeu de test (accuracy, precision, recall, F1-score, matrice de confusion selon le cas), mise en regard des résultats avec les attentes théoriques, puis réponse argumentée à une question de synthèse portant sur le dataset réel étudié.</w:t>
      </w:r>
    </w:p>
    <w:p>
      <w:pPr>
        <w:spacing w:after="160"/>
      </w:pPr>
      <w:r>
        <w:t xml:space="preserve">Une discussion transversale finale (section 5) met en perspective les liens conceptuels entre les trois approches, en explicitant la notion de biais inductif structurel propre à chaque architecture.</w:t>
      </w:r>
    </w:p>
    <w:p>
      <w:r>
        <w:br w:type="page"/>
      </w:r>
    </w:p>
    <w:p>
      <w:pPr>
        <w:pStyle w:val="Heading1"/>
      </w:pPr>
      <w:r>
        <w:t xml:space="preserve">2. Partie I — MLP et ingénierie PyTorch pour données tabulaires</w:t>
      </w:r>
    </w:p>
    <w:p>
      <w:pPr>
        <w:pStyle w:val="Heading2"/>
      </w:pPr>
      <w:r>
        <w:t xml:space="preserve">2.1 Présentation théorique</w:t>
      </w:r>
    </w:p>
    <w:p>
      <w:pPr>
        <w:pStyle w:val="Heading3"/>
      </w:pPr>
      <w:r>
        <w:t xml:space="preserve">2.1.1 Concepts fondamentaux de PyTorch</w:t>
      </w:r>
    </w:p>
    <w:p>
      <w:pPr>
        <w:spacing w:after="160"/>
      </w:pPr>
      <w:r>
        <w:t xml:space="preserve">La brique de base de tout modèle PyTorch est la classe nn.Module. Un objet héritant de cette classe encapsule une transformation paramétrée de l'entrée vers la sortie : il reçoit un tenseur, le transforme via la méthode forward(), et peut contenir des sous-modules ainsi que des paramètres apprenables. nn.Module gère automatiquement l'enregistrement de ces paramètres, ce qui permet leur découverte systématique par l'optimiseur, leur déplacement homogène entre CPU et GPU via la méthode .to(device), ainsi que leur sérialisation.</w:t>
      </w:r>
    </w:p>
    <w:p>
      <w:pPr>
        <w:spacing w:after="160"/>
      </w:pPr>
      <w:r>
        <w:t xml:space="preserve">Un paramètre (nn.Parameter) est un tenseur dont l'attribut requires_grad est activé : PyTorch construit alors dynamiquement, à chaque opération impliquant ce tenseur, un graphe de calcul qui permettra, lors de l'appel à loss.backward(), de calculer le gradient de la fonction de perte par rapport à ce paramètre, par application de la règle de dérivation en chaîne. Cette opération constitue la rétropropagation. L'optimiseur (par exemple Adam) utilise ensuite ce gradient pour mettre à jour la valeur du paramètre dans la direction qui réduit la perte.</w:t>
      </w:r>
    </w:p>
    <w:p>
      <w:pPr>
        <w:spacing w:after="160"/>
      </w:pPr>
      <w:r>
        <w:t xml:space="preserve">Deux mécanismes d'introspection du modèle doivent être distingués. La méthode named_parameters() retourne uniquement les tenseurs entraînables du modèle, sous la forme de couples (nom, paramètre) ; c'est la vue utilisée par l'optimiseur. La méthode state_dict() retourne un dictionnaire ordonné contenant l'intégralité de l'état persistant du modèle, y compris d'éventuels buffers non entraînables (par exemple les moyennes glissantes d'une couche de BatchNorm) ; c'est ce format qui est utilisé pour la sauvegarde et le rechargement d'un modèle entraîné.</w:t>
      </w:r>
    </w:p>
    <w:p>
      <w:pPr>
        <w:spacing w:after="160"/>
      </w:pPr>
      <w:r>
        <w:t xml:space="preserve">Enfin, la notion de device désigne l'emplacement mémoire où s'effectuent les calculs (CPU ou GPU). PyTorch ne migre jamais automatiquement un tenseur d'un device à un autre : le modèle et les données doivent impérativement se trouver sur le même device au moment de chaque opération, sous peine d'erreur d'exécution. La détection du device disponible se fait classiquement via torch.cuda.is_available().</w:t>
      </w:r>
    </w:p>
    <w:p>
      <w:pPr>
        <w:pStyle w:val="Heading3"/>
      </w:pPr>
      <w:r>
        <w:t xml:space="preserve">2.1.2 nn.Sequential et classe personnalisée : analyse comparative</w:t>
      </w:r>
    </w:p>
    <w:p>
      <w:pPr>
        <w:spacing w:after="160"/>
      </w:pPr>
      <w:r>
        <w:t xml:space="preserve">PyTorch propose deux approches pour définir une architecture. La première, nn.Sequential, consiste à chaîner déclarativement une liste de couches dans un ordre strictement linéaire. La seconde consiste à définir une classe héritant de nn.Module, dans laquelle la méthode forward() peut implémenter une logique arbitraire (branchements conditionnels, connexions résiduelles, sorties multiples, réutilisation de sous-modules).</w:t>
      </w:r>
    </w:p>
    <w:p>
      <w:pPr>
        <w:spacing w:after="160"/>
      </w:pPr>
      <w:r>
        <w:t xml:space="preserve">Il importe de souligner, sur le plan théorique, que pour une architecture strictement linéaire donnée (mêmes couches, mêmes dimensions, même initialisation), les deux approches sont mathématiquement équivalentes : elles définissent exactement la même fonction paramétrée. Le choix entre les deux est donc un choix d'ingénierie logicielle — lisibilité et concision pour nn.Sequential, flexibilité architecturale pour la classe personnalisée — et non un choix qui affecte le pouvoir expressif du modèle.</w:t>
      </w:r>
    </w:p>
    <w:p>
      <w:pPr>
        <w:pStyle w:val="Heading3"/>
      </w:pPr>
      <w:r>
        <w:t xml:space="preserve">2.1.3 Stratégies d'initialisation des poids</w:t>
      </w:r>
    </w:p>
    <w:p>
      <w:pPr>
        <w:spacing w:after="160"/>
      </w:pPr>
      <w:r>
        <w:t xml:space="preserve">L'initialisation des poids conditionne fortement la dynamique d'apprentissage d'un réseau de neurones. Trois stratégies ont été comparées expérimentalement dans ce projet :</w:t>
      </w:r>
    </w:p>
    <w:p>
      <w:pPr>
        <w:pStyle w:val="ListParagraph"/>
        <w:numPr>
          <w:ilvl w:val="0"/>
          <w:numId w:val="3"/>
        </w:numPr>
        <w:spacing w:after="90"/>
      </w:pPr>
      <w:r>
        <w:rPr>
          <w:b/>
          <w:bCs/>
        </w:rPr>
        <w:t xml:space="preserve">Initialisation gaussienne : </w:t>
      </w:r>
      <w:r>
        <w:t xml:space="preserve">les poids sont tirés d'une loi normale centrée de faible variance (ici σ = 0,01). Cette stratégie rompt la symétrie entre neurones, mais une variance mal calibrée par rapport à la profondeur du réseau peut entraîner un phénomène de vanishing ou exploding activations.</w:t>
      </w:r>
    </w:p>
    <w:p>
      <w:pPr>
        <w:pStyle w:val="ListParagraph"/>
        <w:numPr>
          <w:ilvl w:val="0"/>
          <w:numId w:val="3"/>
        </w:numPr>
        <w:spacing w:after="90"/>
      </w:pPr>
      <w:r>
        <w:rPr>
          <w:b/>
          <w:bCs/>
        </w:rPr>
        <w:t xml:space="preserve">Initialisation constante : </w:t>
      </w:r>
      <w:r>
        <w:t xml:space="preserve">tous les poids d'une couche reçoivent la même valeur initiale. Cette stratégie est pédagogiquement instructive mais théoriquement défaillante : tous les neurones d'une même couche calculent alors la même sortie et reçoivent le même gradient à chaque itération, ce qui empêche toute différenciation entre eux au cours de l'entraînement (problème de symétrie).</w:t>
      </w:r>
    </w:p>
    <w:p>
      <w:pPr>
        <w:pStyle w:val="ListParagraph"/>
        <w:numPr>
          <w:ilvl w:val="0"/>
          <w:numId w:val="3"/>
        </w:numPr>
        <w:spacing w:after="90"/>
      </w:pPr>
      <w:r>
        <w:rPr>
          <w:b/>
          <w:bCs/>
        </w:rPr>
        <w:t xml:space="preserve">Initialisation de Xavier (Glorot) : </w:t>
      </w:r>
      <w:r>
        <w:t xml:space="preserve">la variance des poids est calibrée en fonction du nombre d'entrées et de sorties de la couche (fan_in + fan_out), de manière à préserver la variance du signal à travers les couches successives du réseau. C'est la stratégie recommandée pour des réseaux profonds à activation ReLU.</w:t>
      </w:r>
    </w:p>
    <w:p>
      <w:pPr>
        <w:spacing w:after="160"/>
      </w:pPr>
      <w:r>
        <w:t xml:space="preserve">Le détail des résultats expérimentaux comparant ces trois stratégies sur le dataset Breast Cancer Wisconsin est présenté en section 2.5.</w:t>
      </w:r>
    </w:p>
    <w:p>
      <w:pPr>
        <w:pStyle w:val="Heading2"/>
      </w:pPr>
      <w:r>
        <w:t xml:space="preserve">2.2 Étape 1 — Exploration et préparation des données : Breast Cancer Wisconsin</w:t>
      </w:r>
    </w:p>
    <w:p>
      <w:pPr>
        <w:spacing w:after="160"/>
      </w:pPr>
      <w:r>
        <w:t xml:space="preserve">Le dataset Breast Cancer Wisconsin (Diagnostic) contient 569 échantillons décrits par 30 variables numériques continues (rayon, texture, périmètre, aire, concavité, etc.), extraites par analyse d'images de cytologie de biopsies mammaires. La tâche associée est une classification binaire : tumeur maligne ou bénigne.</w:t>
      </w:r>
    </w:p>
    <w:p>
      <w:pPr>
        <w:spacing w:after="160"/>
      </w:pPr>
      <w:r>
        <w:t xml:space="preserve">La préparation des données a suivi les sous-étapes suivantes :</w:t>
      </w:r>
    </w:p>
    <w:p>
      <w:pPr>
        <w:pStyle w:val="ListParagraph"/>
        <w:numPr>
          <w:ilvl w:val="0"/>
          <w:numId w:val="4"/>
        </w:numPr>
        <w:spacing w:after="90"/>
      </w:pPr>
      <w:r>
        <w:rPr>
          <w:b/>
          <w:bCs/>
        </w:rPr>
        <w:t xml:space="preserve">Chargement et exploration : </w:t>
      </w:r>
      <w:r>
        <w:t xml:space="preserve">import du dataset via sklearn.datasets.load_breast_cancer(), inspection des dimensions (569 lignes × 30 colonnes), vérification systématique de l'absence de valeurs manquantes (aucune détectée) et calcul des statistiques descriptives (moyenne, écart-type, min/max) pour identifier l'échelle très hétérogène des variables (certaines de l'ordre de 0,01, d'autres de l'ordre de 1000).</w:t>
      </w:r>
    </w:p>
    <w:p>
      <w:pPr>
        <w:pStyle w:val="ListParagraph"/>
        <w:numPr>
          <w:ilvl w:val="0"/>
          <w:numId w:val="4"/>
        </w:numPr>
        <w:spacing w:after="90"/>
      </w:pPr>
      <w:r>
        <w:rPr>
          <w:b/>
          <w:bCs/>
        </w:rPr>
        <w:t xml:space="preserve">Découpage stratifié : </w:t>
      </w:r>
      <w:r>
        <w:t xml:space="preserve">partition en 70 % entraînement / 15 % validation / 15 % test, avec stratification selon la classe cible (train_test_split(..., stratify=y)) pour préserver la même proportion de tumeurs malignes/bénignes dans chaque sous-ensemble.</w:t>
      </w:r>
    </w:p>
    <w:p>
      <w:pPr>
        <w:pStyle w:val="ListParagraph"/>
        <w:numPr>
          <w:ilvl w:val="0"/>
          <w:numId w:val="4"/>
        </w:numPr>
        <w:spacing w:after="90"/>
      </w:pPr>
      <w:r>
        <w:rPr>
          <w:b/>
          <w:bCs/>
        </w:rPr>
        <w:t xml:space="preserve">Normalisation : </w:t>
      </w:r>
      <w:r>
        <w:t xml:space="preserve">application d'un StandardScaler (centrage-réduction, moyenne nulle et écart-type unitaire), ajusté exclusivement sur l'ensemble d'entraînement (fit_transform), puis appliqué aux ensembles de validation et de test (transform seul), afin d'éviter toute fuite d'information (data leakage) — l'information statistique du jeu de test ne doit jamais influencer le prétraitement.</w:t>
      </w:r>
    </w:p>
    <w:p>
      <w:pPr>
        <w:pStyle w:val="ListParagraph"/>
        <w:numPr>
          <w:ilvl w:val="0"/>
          <w:numId w:val="4"/>
        </w:numPr>
        <w:spacing w:after="90"/>
      </w:pPr>
      <w:r>
        <w:rPr>
          <w:b/>
          <w:bCs/>
        </w:rPr>
        <w:t xml:space="preserve">Conversion en tenseurs : </w:t>
      </w:r>
      <w:r>
        <w:t xml:space="preserve">transformation des tableaux NumPy en torch.Tensor (dtype float32 pour les features, float32 pour les labels binaires utilisés avec BCEWithLogitsLoss), puis encapsulation dans des objets TensorDataset et DataLoader pour la gestion par mini-lots (batch size = 32).</w:t>
      </w:r>
    </w:p>
    <w:p>
      <w:pPr>
        <w:pStyle w:val="Heading2"/>
      </w:pPr>
      <w:r>
        <w:t xml:space="preserve">2.3 Étape 2 et 3 — Conception et implémentation de l'architecture</w:t>
      </w:r>
    </w:p>
    <w:p>
      <w:pPr>
        <w:spacing w:after="160"/>
      </w:pPr>
      <w:r>
        <w:t xml:space="preserve">Deux implémentations équivalentes du même MLP ont été réalisées, afin d'illustrer concrètement l'équivalence théorique discutée en section 2.1.2.</w:t>
      </w:r>
    </w:p>
    <w:p>
      <w:pPr>
        <w:pStyle w:val="Heading3"/>
      </w:pPr>
      <w:r>
        <w:t xml:space="preserve">2.3.1 Version nn.Sequential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20"/>
              <w:left w:type="dxa" w:w="160"/>
              <w:bottom w:type="dxa" w:w="120"/>
              <w:right w:type="dxa" w:w="160"/>
            </w:tcMar>
          </w:tcPr>
          <w:p>
            <w:r>
              <w:rPr>
                <w:rFonts w:ascii="Consolas" w:cs="Consolas" w:eastAsia="Consolas" w:hAnsi="Consolas"/>
                <w:sz w:val="18"/>
                <w:szCs w:val="18"/>
              </w:rPr>
              <w:t xml:space="preserve">mlp_sequential = nn.Sequential(</w:t>
            </w:r>
          </w:p>
          <w:p>
            <w:r>
              <w:rPr>
                <w:rFonts w:ascii="Consolas" w:cs="Consolas" w:eastAsia="Consolas" w:hAnsi="Consolas"/>
                <w:sz w:val="18"/>
                <w:szCs w:val="18"/>
              </w:rPr>
              <w:t xml:space="preserve">    nn.Linear(30, 64), nn.ReLU(), nn.Dropout(0.2),</w:t>
            </w:r>
          </w:p>
          <w:p>
            <w:r>
              <w:rPr>
                <w:rFonts w:ascii="Consolas" w:cs="Consolas" w:eastAsia="Consolas" w:hAnsi="Consolas"/>
                <w:sz w:val="18"/>
                <w:szCs w:val="18"/>
              </w:rPr>
              <w:t xml:space="preserve">    nn.Linear(64, 32), nn.ReLU(), nn.Dropout(0.2),</w:t>
            </w:r>
          </w:p>
          <w:p>
            <w:r>
              <w:rPr>
                <w:rFonts w:ascii="Consolas" w:cs="Consolas" w:eastAsia="Consolas" w:hAnsi="Consolas"/>
                <w:sz w:val="18"/>
                <w:szCs w:val="18"/>
              </w:rPr>
              <w:t xml:space="preserve">    nn.Linear(32, 1)   # logit unique (classification binaire)</w:t>
            </w:r>
          </w:p>
          <w:p>
            <w:r>
              <w:rPr>
                <w:rFonts w:ascii="Consolas" w:cs="Consolas" w:eastAsia="Consolas" w:hAnsi="Consolas"/>
                <w:sz w:val="18"/>
                <w:szCs w:val="18"/>
              </w:rPr>
              <w:t xml:space="preserve">)</w:t>
            </w:r>
          </w:p>
        </w:tc>
      </w:tr>
    </w:tbl>
    <w:p>
      <w:pPr>
        <w:pStyle w:val="Heading3"/>
      </w:pPr>
      <w:r>
        <w:t xml:space="preserve">2.3.2 Version classe personnalisée</w:t>
      </w:r>
    </w:p>
    <w:p>
      <w:pPr>
        <w:spacing w:after="160"/>
      </w:pPr>
      <w:r>
        <w:t xml:space="preserve">La classe personnalisée MLPCustom (capture ci-dessous, issue du notebook Partie1_MLP.ipynb) reproduit exactement la même architecture, avec la méthode forward() rendue explicite :</w:t>
      </w:r>
    </w:p>
    <w:p>
      <w:pPr>
        <w:spacing w:after="80" w:before="12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66925"/>
                    </a:xfrm>
                    <a:prstGeom prst="rect">
                      <a:avLst/>
                    </a:prstGeom>
                  </pic:spPr>
                </pic:pic>
              </a:graphicData>
            </a:graphic>
          </wp:inline>
        </w:drawing>
      </w:r>
    </w:p>
    <w:p>
      <w:pPr>
        <w:spacing w:after="200"/>
        <w:jc w:val="center"/>
      </w:pPr>
      <w:r>
        <w:rPr>
          <w:i/>
          <w:iCs/>
          <w:color w:val="595959"/>
          <w:sz w:val="18"/>
          <w:szCs w:val="18"/>
        </w:rPr>
        <w:t xml:space="preserve">Capture du notebook Colab — implémentation de la classe MLPCustom (Partie1_MLP.ipynb, cellule [14]).</w:t>
      </w:r>
    </w:p>
    <w:p>
      <w:pPr>
        <w:spacing w:after="160"/>
      </w:pPr>
      <w:r>
        <w:t xml:space="preserve">Les deux architectures comportent 30 entrées, deux couches cachées de 64 puis 32 neurones avec activation ReLU et Dropout (taux 0,2) après chacune, et une couche de sortie à un seul neurone produisant un logit (la fonction sigmoïde n'est pas appliquée explicitement, BCEWithLogitsLoss l'intègre numériquement pour plus de stabilité).</w:t>
      </w:r>
    </w:p>
    <w:p>
      <w:pPr>
        <w:pStyle w:val="Heading2"/>
      </w:pPr>
      <w:r>
        <w:t xml:space="preserve">2.4 Inspection des paramètres, initialisation et device</w:t>
      </w:r>
    </w:p>
    <w:p>
      <w:pPr>
        <w:spacing w:after="160"/>
      </w:pPr>
      <w:r>
        <w:t xml:space="preserve">Une fois l'architecture instanciée, l'étape suivante consiste à appliquer la stratégie d'initialisation retenue (Xavier, voir section 2.1.3), configurer l'optimiseur et la fonction de perte, puis vérifier le device d'exécution :</w:t>
      </w:r>
    </w:p>
    <w:p>
      <w:pPr>
        <w:spacing w:after="80" w:before="12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714500"/>
                    </a:xfrm>
                    <a:prstGeom prst="rect">
                      <a:avLst/>
                    </a:prstGeom>
                  </pic:spPr>
                </pic:pic>
              </a:graphicData>
            </a:graphic>
          </wp:inline>
        </w:drawing>
      </w:r>
    </w:p>
    <w:p>
      <w:pPr>
        <w:spacing w:after="200"/>
        <w:jc w:val="center"/>
      </w:pPr>
      <w:r>
        <w:rPr>
          <w:i/>
          <w:iCs/>
          <w:color w:val="595959"/>
          <w:sz w:val="18"/>
          <w:szCs w:val="18"/>
        </w:rPr>
        <w:t xml:space="preserve">Capture du notebook Colab — application de l'initialisation Xavier, configuration de l'optimiseur Adam et détection du device (Partie1_MLP.ipynb, cellule [18]).</w:t>
      </w:r>
    </w:p>
    <w:p>
      <w:pPr>
        <w:spacing w:after="160"/>
      </w:pPr>
      <w:r>
        <w:t xml:space="preserve">L'inspection via named_parameters() permet de lister, pour chaque couche linéaire, le nom du paramètre (poids ou biais), sa forme (shape) et le nombre de valeurs entraînables qu'il contient — pour cette architecture, le modèle comporte au total 30×64 + 64 + 64×32 + 32 + 32×1 + 1 = 4 097 paramètres entraînables. La méthode state_dict() expose quant à elle l'état complet du modèle sous forme de dictionnaire ordonné, format utilisé pour la persistance : seul l'état des paramètres est sauvegardé via torch.save(model.state_dict(), chemin), plutôt que l'objet modèle complet, afin de garantir portabilité et stabilité entre versions de PyTorch. Le rechargement s'effectue par instanciation d'un nouveau modèle suivi de load_state_dict().</w:t>
      </w:r>
    </w:p>
    <w:p>
      <w:pPr>
        <w:pStyle w:val="Heading2"/>
      </w:pPr>
      <w:r>
        <w:t xml:space="preserve">2.5 Étape 4 — Entraînement et résultats expérimentaux</w:t>
      </w:r>
    </w:p>
    <w:p>
      <w:pPr>
        <w:spacing w:after="160"/>
      </w:pPr>
      <w:r>
        <w:t xml:space="preserve">La boucle d'entraînement générique utilisée pour ce modèle (et réutilisée, avec adaptation, pour les architectures des parties suivantes) suit le schéma classique PyTorch : passage avant, calcul de la perte, rétropropagation, mise à jour des poids, puis évaluation périodique sur l'ensemble de validation avec sauvegarde du meilleur modèle et arrêt anticipé :</w:t>
      </w:r>
    </w:p>
    <w:p>
      <w:pPr>
        <w:spacing w:after="80" w:before="120"/>
        <w:jc w:val="center"/>
      </w:pPr>
      <w:r>
        <w:drawing>
          <wp:inline distT="0" distB="0" distL="0" distR="0">
            <wp:extent cx="5334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610100"/>
                    </a:xfrm>
                    <a:prstGeom prst="rect">
                      <a:avLst/>
                    </a:prstGeom>
                  </pic:spPr>
                </pic:pic>
              </a:graphicData>
            </a:graphic>
          </wp:inline>
        </w:drawing>
      </w:r>
    </w:p>
    <w:p>
      <w:pPr>
        <w:spacing w:after="200"/>
        <w:jc w:val="center"/>
      </w:pPr>
      <w:r>
        <w:rPr>
          <w:i/>
          <w:iCs/>
          <w:color w:val="595959"/>
          <w:sz w:val="18"/>
          <w:szCs w:val="18"/>
        </w:rPr>
        <w:t xml:space="preserve">Capture du notebook Colab — boucle d'entraînement générique avec early stopping (Partie1_MLP.ipynb, cellule [22]).</w:t>
      </w:r>
    </w:p>
    <w:p>
      <w:pPr>
        <w:spacing w:after="80" w:before="120"/>
        <w:jc w:val="center"/>
      </w:pPr>
      <w:r>
        <w:drawing>
          <wp:inline distT="0" distB="0" distL="0" distR="0">
            <wp:extent cx="5143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781175"/>
                    </a:xfrm>
                    <a:prstGeom prst="rect">
                      <a:avLst/>
                    </a:prstGeom>
                  </pic:spPr>
                </pic:pic>
              </a:graphicData>
            </a:graphic>
          </wp:inline>
        </w:drawing>
      </w:r>
    </w:p>
    <w:p>
      <w:pPr>
        <w:spacing w:after="200"/>
        <w:jc w:val="center"/>
      </w:pPr>
      <w:r>
        <w:rPr>
          <w:i/>
          <w:iCs/>
          <w:color w:val="595959"/>
          <w:sz w:val="18"/>
          <w:szCs w:val="18"/>
        </w:rPr>
        <w:t xml:space="preserve">Figure 1 — Courbes de perte (loss) et d'accuracy — entraînement vs validation, MLP sur Breast Cancer Wisconsin (50 epochs).</w:t>
      </w:r>
    </w:p>
    <w:p>
      <w:pPr>
        <w:spacing w:after="160"/>
      </w:pPr>
      <w:r>
        <w:t xml:space="preserve">Le modèle final (classe personnalisée MLPCustom, initialisation de Xavier, optimiseur Adam, 50 epochs) a été entraîné puis évalué sur le jeu de test (86 échantillons, soit 15 % du dataset). Les courbes d'apprentissage ci-dessus montrent une convergence rapide de la perte (loss) dès les 10 premières epochs, suivie d'une stabilisation, ainsi qu'une accuracy de validation atteignant un plateau proche de 0,98 dès l'epoch 5 environ. On note un léger écart entre la loss d'entraînement (qui continue de décroître légèrement jusqu'à environ 0,03) et la loss de validation (qui se stabilise autour de 0,05-0,06 et amorce une remontée très légère en fin d'entraînement), signe d'un début de surapprentissage modéré, contenu par le Dropout et l'arrêt sur le meilleur modèle au sens de la validation loss.</w:t>
      </w:r>
    </w:p>
    <w:p>
      <w:pPr>
        <w:spacing w:after="80" w:before="120"/>
        <w:jc w:val="center"/>
      </w:pPr>
      <w:r>
        <w:drawing>
          <wp:inline distT="0" distB="0" distL="0" distR="0">
            <wp:extent cx="4000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562225"/>
                    </a:xfrm>
                    <a:prstGeom prst="rect">
                      <a:avLst/>
                    </a:prstGeom>
                  </pic:spPr>
                </pic:pic>
              </a:graphicData>
            </a:graphic>
          </wp:inline>
        </w:drawing>
      </w:r>
    </w:p>
    <w:p>
      <w:pPr>
        <w:spacing w:after="200"/>
        <w:jc w:val="center"/>
      </w:pPr>
      <w:r>
        <w:rPr>
          <w:i/>
          <w:iCs/>
          <w:color w:val="595959"/>
          <w:sz w:val="18"/>
          <w:szCs w:val="18"/>
        </w:rPr>
        <w:t xml:space="preserve">Figure 2 — Matrice de confusion du MLP final sur le jeu de test (Breast Cancer Wisconsin).</w:t>
      </w:r>
    </w:p>
    <w:p>
      <w:pPr>
        <w:spacing w:after="160"/>
      </w:pPr>
      <w:r>
        <w:t xml:space="preserve">La matrice de confusion obtenue sur le jeu de test (86 échantillons) confirme une performance élevée. Les métriques calculées à partir de cette matrice sont présentées ci-dessous (classe « benign » prise comme classe positive, conformément à l'encodage par défaut du dataset scikit-learn)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left"/>
            </w:pPr>
            <w:r>
              <w:rPr>
                <w:b/>
                <w:bCs/>
                <w:i w:val="false"/>
                <w:iCs w:val="false"/>
                <w:color w:val="FFFFFF"/>
                <w:sz w:val="20"/>
                <w:szCs w:val="20"/>
              </w:rPr>
              <w:t xml:space="preserve">Métrique</w:t>
            </w:r>
          </w:p>
        </w:tc>
        <w:tc>
          <w:tcPr>
            <w:tcW w:type="dxa" w:w="468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left"/>
            </w:pPr>
            <w:r>
              <w:rPr>
                <w:b/>
                <w:bCs/>
                <w:i w:val="false"/>
                <w:iCs w:val="false"/>
                <w:color w:val="FFFFFF"/>
                <w:sz w:val="20"/>
                <w:szCs w:val="20"/>
              </w:rPr>
              <w:t xml:space="preserve">Valeur</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Accuracy</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0,9651</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Precision (benign)</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0,9811</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Recall (benign)</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0,9630</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F1-score (benign)</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0,9720</w:t>
            </w:r>
          </w:p>
        </w:tc>
      </w:tr>
    </w:tbl>
    <w:p>
      <w:pPr>
        <w:spacing w:after="160"/>
      </w:pPr>
      <w:r>
        <w:t xml:space="preserve">Sur 86 échantillons de test, seules 3 erreurs de classification sont commises : 1 tumeur maligne classée à tort comme bénigne (faux négatif) et 2 tumeurs bénignes classées à tort comme malignes (faux positifs). Dans un contexte médical, le faux négatif (tumeur maligne non détectée) est l'erreur la plus coûteuse cliniquement ; son occurrence unique sur 33 cas malins du jeu de test (recall malignant = 0,9688, soit 31/32) constitue un résultat satisfaisant pour ce modèle, sans toutefois garantir une généralisation à plus grande échelle compte tenu de la taille réduite du jeu de test.</w:t>
      </w:r>
    </w:p>
    <w:p>
      <w:pPr>
        <w:pStyle w:val="Heading2"/>
      </w:pPr>
      <w:r>
        <w:t xml:space="preserve">2.6 Étape 5 — Analyse critique</w:t>
      </w:r>
    </w:p>
    <w:p>
      <w:pPr>
        <w:spacing w:after="160"/>
      </w:pPr>
      <w:r>
        <w:t xml:space="preserve">Les courbes d'apprentissage confirment une dynamique d'entraînement saine : la décroissance rapide de la loss durant les 10 premières epochs traduit une initialisation de Xavier efficace, cohérente avec l'attente théorique selon laquelle cette stratégie préserve la variance du signal à travers les couches et favorise une convergence rapide. L'écart croissant, bien que modéré, entre loss d'entraînement et loss de validation à partir de l'epoch 20 environ constitue un signal de sur-apprentissage léger, attendu sur un jeu de données de taille restreinte (569 échantillons au total, dont seulement 398 pour l'entraînement après découpage 70/15/15) ; le Dropout (taux 0,2) et la sélection du meilleur modèle au sens de la validation loss limitent efficacement l'impact de ce phénomène sur la performance finale en test.</w:t>
      </w:r>
    </w:p>
    <w:p>
      <w:pPr>
        <w:spacing w:after="160"/>
      </w:pPr>
      <w:r>
        <w:t xml:space="preserve">La performance finale (accuracy 0,9651, F1-score 0,9720 pour la classe bénigne) confirme empiriquement la pertinence d'un MLP pour cette tâche de classification tabulaire, sans toutefois permettre de conclure à une supériorité du MLP sur des méthodes plus classiques (Random Forest, régression logistique régularisée) pour ce même dataset, ces dernières atteignant typiquement des performances comparables sur Breast Cancer Wisconsin compte tenu de sa séparabilité relativement favorable. L'apport spécifique du deep learning apparaît ainsi davantage comme une démonstration méthodologique (maîtrise de l'ingénierie PyTorch) que comme un gain de performance décisif sur ce dataset particulier, ce qui est cohérent avec la discussion de la question de synthèse ci-dessous.</w:t>
      </w:r>
    </w:p>
    <w:p>
      <w:pPr>
        <w:pStyle w:val="Heading2"/>
      </w:pPr>
      <w:r>
        <w:t xml:space="preserve">2.7 Question de synthèse — Partie I</w:t>
      </w:r>
    </w:p>
    <w:p>
      <w:pPr>
        <w:spacing w:after="160"/>
      </w:pPr>
      <w:r>
        <w:rPr>
          <w:i/>
          <w:iCs/>
          <w:color w:val="595959"/>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160"/>
      </w:pPr>
      <w:r>
        <w:t xml:space="preserve">Le dataset Breast Cancer Wisconsin est composé de variables tabulaires continues, sans structure spatiale (à la différence d'une image) ni dépendance séquentielle (à la différence d'un texte) entre les colonnes. Dans ce contexte, un MLP constitue un choix architectural raisonnable précisément parce qu'il ne fait aucune hypothèse a priori sur l'organisation des variables d'entrée : chaque neurone de la première couche cachée a accès à l'ensemble des 30 variables simultanément, ce qui lui permet d'apprendre librement les combinaisons et interactions pertinentes entre elles, sans contrainte structurelle imposée par l'architecture elle-même (contrairement à un CNN, qui impose une contrainte de localité spatiale non pertinente ici).</w:t>
      </w:r>
    </w:p>
    <w:p>
      <w:pPr>
        <w:spacing w:after="160"/>
      </w:pPr>
      <w:r>
        <w:t xml:space="preserve">Les résultats expérimentaux obtenus (accuracy 0,9651, F1-score 0,9720 pour la classe bénigne, seulement 3 erreurs sur 86 échantillons de test) confirment empiriquement cette pertinence : le MLP, bien paramétré (initialisation de Xavier, régularisation par Dropout, normalisation préalable des variables), atteint une performance élevée sur cette tâche de classification binaire, avec un taux d'erreur particulièrement faible sur la classe cliniquement critique (un seul faux négatif sur 32 cas malins du jeu de test).</w:t>
      </w:r>
    </w:p>
    <w:p>
      <w:pPr>
        <w:spacing w:after="160"/>
      </w:pPr>
      <w:r>
        <w:t xml:space="preserve">Les limites du MLP sur ce type de données tiennent cependant à plusieurs facteurs. D'abord, sa sensibilité à l'échelle des variables impose un prétraitement rigoureux (normalisation), sans lequel l'apprentissage peut être instable ou inefficace. Ensuite, contrairement à des méthodes par arbres (Random Forest, Gradient Boosting), qui partitionnent récursivement l'espace des variables et sont souvent compétitives, voire supérieures, sur des jeux de données tabulaires de taille modeste, le MLP ne bénéficie d'aucun biais structurel exploitant la nature tabulaire des données : il doit apprendre ab initio les interactions entre variables à partir d'un nombre d'échantillons réduit (569 dans le cas présent), ce qui l'expose à un risque de sur-apprentissage nécessitant une régularisation explicite (dropout, weight decay, arrêt précoce) — risque dont on observe d'ailleurs un signe précoce dans l'écart modéré entre loss d'entraînement et de validation (section 2.6). Enfin, l'absence d'interprétabilité directe des poids appris contraste avec la lisibilité des règles de décision d'un modèle par arbres, ce qui peut constituer un inconvénient dans un contexte médical où la justification de la décision importe autant que sa justesse.</w:t>
      </w:r>
    </w:p>
    <w:p>
      <w:r>
        <w:br w:type="page"/>
      </w:r>
    </w:p>
    <w:p>
      <w:pPr>
        <w:pStyle w:val="Heading1"/>
      </w:pPr>
      <w:r>
        <w:t xml:space="preserve">3. Partie II — CNN et vision par ordinateur</w:t>
      </w:r>
    </w:p>
    <w:p>
      <w:pPr>
        <w:pStyle w:val="Heading2"/>
      </w:pPr>
      <w:r>
        <w:t xml:space="preserve">3.1 Présentation théorique</w:t>
      </w:r>
    </w:p>
    <w:p>
      <w:pPr>
        <w:pStyle w:val="Heading3"/>
      </w:pPr>
      <w:r>
        <w:t xml:space="preserve">3.1.1 Limites du MLP pour les données image</w:t>
      </w:r>
    </w:p>
    <w:p>
      <w:pPr>
        <w:spacing w:after="160"/>
      </w:pPr>
      <w:r>
        <w:t xml:space="preserve">L'application d'un MLP à une image nécessite l'aplatissement (flatten) de la matrice de pixels en un vecteur unidimensionnel, ce qui présente trois limites structurelles majeures. Premièrement, cet aplatissement détruit la structure spatiale de l'image : deux pixels physiquement voisins peuvent se retrouver arbitrairement éloignés dans le vecteur résultant, alors que leur proximité spatiale porte une information visuelle déterminante (contours, textures). Deuxièmement, un MLP n'opère aucun partage des poids : un même motif visuel (par exemple un bord) doit être appris indépendamment à chaque position possible de l'image, ce qui multiplie inutilement le nombre de paramètres nécessaires. Troisièmement, chaque neurone d'un MLP est connecté à la totalité des pixels d'entrée, alors que la plupart des motifs visuels pertinents sont des phénomènes locaux, n'impliquant qu'un voisinage restreint de pixels.</w:t>
      </w:r>
    </w:p>
    <w:p>
      <w:pPr>
        <w:spacing w:after="160"/>
      </w:pPr>
      <w:r>
        <w:t xml:space="preserve">Le réseau de neurones convolutionnel répond à ces trois limites par les principes suivants : la localité, qui restreint la connectivité de chaque neurone à un petit voisinage de l'image (son champ réceptif) ; le partage des poids, qui applique le même filtre (noyau de convolution) à toutes les positions de l'image, conférant au réseau une équivariance par translation — un motif appris à un endroit est automatiquement détecté ailleurs ; et la hiérarchie des représentations, l'empilement de couches convolutives permettant de construire des représentations de complexité croissante (des bords vers les textures, puis vers des formes et objets), à mesure que le champ réceptif effectif s'élargit avec la profondeur du réseau.</w:t>
      </w:r>
    </w:p>
    <w:p>
      <w:pPr>
        <w:pStyle w:val="Heading3"/>
      </w:pPr>
      <w:r>
        <w:t xml:space="preserve">3.1.2 Calculs dimensionnels</w:t>
      </w:r>
    </w:p>
    <w:p>
      <w:pPr>
        <w:spacing w:after="160"/>
      </w:pPr>
      <w:r>
        <w:t xml:space="preserve">La taille de sortie d'une couche de convolution se calcule par la formule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20"/>
              <w:left w:type="dxa" w:w="160"/>
              <w:bottom w:type="dxa" w:w="120"/>
              <w:right w:type="dxa" w:w="160"/>
            </w:tcMar>
          </w:tcPr>
          <w:p>
            <w:r>
              <w:rPr>
                <w:rFonts w:ascii="Consolas" w:cs="Consolas" w:eastAsia="Consolas" w:hAnsi="Consolas"/>
                <w:sz w:val="18"/>
                <w:szCs w:val="18"/>
              </w:rPr>
              <w:t xml:space="preserve">H_out = floor((H_in + 2 × padding − kernel_size) / stride) + 1</w:t>
            </w:r>
          </w:p>
        </w:tc>
      </w:tr>
    </w:tbl>
    <w:p>
      <w:pPr>
        <w:spacing w:after="160"/>
      </w:pPr>
      <w:r>
        <w:t xml:space="preserve">et celle d'une couche de pooling, de manière analogue (stride égal à kernel_size par défaut)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20"/>
              <w:left w:type="dxa" w:w="160"/>
              <w:bottom w:type="dxa" w:w="120"/>
              <w:right w:type="dxa" w:w="160"/>
            </w:tcMar>
          </w:tcPr>
          <w:p>
            <w:r>
              <w:rPr>
                <w:rFonts w:ascii="Consolas" w:cs="Consolas" w:eastAsia="Consolas" w:hAnsi="Consolas"/>
                <w:sz w:val="18"/>
                <w:szCs w:val="18"/>
              </w:rPr>
              <w:t xml:space="preserve">H_out = floor((H_in − kernel_size) / stride) + 1</w:t>
            </w:r>
          </w:p>
        </w:tc>
      </w:tr>
    </w:tbl>
    <w:p>
      <w:pPr>
        <w:spacing w:after="160"/>
      </w:pPr>
      <w:r>
        <w:t xml:space="preserve">Ces formules ont été appliquées et vérifiées numériquement sur l'architecture retenue (images Fashion-MNIST 28×28, 1 canal)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left"/>
            </w:pPr>
            <w:r>
              <w:rPr>
                <w:b/>
                <w:bCs/>
                <w:i w:val="false"/>
                <w:iCs w:val="false"/>
                <w:color w:val="FFFFFF"/>
                <w:sz w:val="20"/>
                <w:szCs w:val="20"/>
              </w:rPr>
              <w:t xml:space="preserve">Opération</w:t>
            </w:r>
          </w:p>
        </w:tc>
        <w:tc>
          <w:tcPr>
            <w:tcW w:type="dxa" w:w="22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Entrée</w:t>
            </w:r>
          </w:p>
        </w:tc>
        <w:tc>
          <w:tcPr>
            <w:tcW w:type="dxa" w:w="22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Paramètres</w:t>
            </w:r>
          </w:p>
        </w:tc>
        <w:tc>
          <w:tcPr>
            <w:tcW w:type="dxa" w:w="22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Sortie</w:t>
            </w:r>
          </w:p>
        </w:tc>
      </w:tr>
      <w:tr>
        <w:tc>
          <w:tcPr>
            <w:tcW w:type="dxa" w:w="27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Conv2D</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28×28</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k=5, s=1, p=0</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24×24</w:t>
            </w:r>
          </w:p>
        </w:tc>
      </w:tr>
      <w:tr>
        <w:tc>
          <w:tcPr>
            <w:tcW w:type="dxa" w:w="27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Conv2D (padding « same »)</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28×28</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k=5, s=1, p=2</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28×28</w:t>
            </w:r>
          </w:p>
        </w:tc>
      </w:tr>
      <w:tr>
        <w:tc>
          <w:tcPr>
            <w:tcW w:type="dxa" w:w="27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MaxPool2D</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28×28</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k=2, s=2</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14×14</w:t>
            </w:r>
          </w:p>
        </w:tc>
      </w:tr>
      <w:tr>
        <w:tc>
          <w:tcPr>
            <w:tcW w:type="dxa" w:w="27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Conv2D (padding « same »)</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14×14</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k=5, s=1, p=2</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14×14</w:t>
            </w:r>
          </w:p>
        </w:tc>
      </w:tr>
      <w:tr>
        <w:tc>
          <w:tcPr>
            <w:tcW w:type="dxa" w:w="27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MaxPool2D</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14×14</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k=2, s=2</w:t>
            </w:r>
          </w:p>
        </w:tc>
        <w:tc>
          <w:tcPr>
            <w:tcW w:type="dxa" w:w="22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7×7</w:t>
            </w:r>
          </w:p>
        </w:tc>
      </w:tr>
    </w:tbl>
    <w:p>
      <w:pPr>
        <w:spacing w:after="160"/>
      </w:pPr>
      <w:r>
        <w:t xml:space="preserve">Le nombre de paramètres d'une couche convolutive se calcule par : n_params = (k_h × k_w × C_in + 1) × C_out, le terme « +1 » correspondant au biais associé à chaque filtre.</w:t>
      </w:r>
    </w:p>
    <w:p>
      <w:pPr>
        <w:pStyle w:val="Heading2"/>
      </w:pPr>
      <w:r>
        <w:t xml:space="preserve">3.2 Étape 1 et 2 — Implémentation manuelle et vérification des opérations fondamentales</w:t>
      </w:r>
    </w:p>
    <w:p>
      <w:pPr>
        <w:spacing w:after="160"/>
      </w:pPr>
      <w:r>
        <w:t xml:space="preserve">Avant de recourir aux couches PyTorch standard, et conformément à la démarche méthodologique adoptée, les trois opérations fondamentales d'un CNN ont été implémentées manuellement (corrélation croisée 2D, max-pooling, average-pooling), puis vérifiées par comparaison numérique directe avec leurs équivalents PyTorch (nn.Conv2d sans biais, F.max_pool2d, F.avg_pool2d) sur des tenseurs aléatoires identiques.</w:t>
      </w:r>
    </w:p>
    <w:p>
      <w:pPr>
        <w:spacing w:after="160"/>
      </w:pPr>
      <w:r>
        <w:t xml:space="preserve">Il convient de préciser un point de vocabulaire : l'opération que les frameworks de deep learning désignent par « convolution » est, au sens strict du traitement du signal, une corrélation croisée — le noyau n'est pas retourné (flip) avant son application à l'image, contrairement à la convolution mathématique classique. C'est cette opération de corrélation croisée qui a été implémentée et vérifiée dans ce projet, comme le montre la capture ci-dessous :</w:t>
      </w:r>
    </w:p>
    <w:p>
      <w:pPr>
        <w:spacing w:after="80" w:before="120"/>
        <w:jc w:val="center"/>
      </w:pPr>
      <w:r>
        <w:drawing>
          <wp:inline distT="0" distB="0" distL="0" distR="0">
            <wp:extent cx="5143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352675"/>
                    </a:xfrm>
                    <a:prstGeom prst="rect">
                      <a:avLst/>
                    </a:prstGeom>
                  </pic:spPr>
                </pic:pic>
              </a:graphicData>
            </a:graphic>
          </wp:inline>
        </w:drawing>
      </w:r>
    </w:p>
    <w:p>
      <w:pPr>
        <w:spacing w:after="200"/>
        <w:jc w:val="center"/>
      </w:pPr>
      <w:r>
        <w:rPr>
          <w:i/>
          <w:iCs/>
          <w:color w:val="595959"/>
          <w:sz w:val="18"/>
          <w:szCs w:val="18"/>
        </w:rPr>
        <w:t xml:space="preserve">Capture du notebook Colab — implémentation manuelle de la corrélation croisée 2D et vérification numérique face à PyTorch (Partie2_CNN.ipynb, cellule [7]).</w:t>
      </w:r>
    </w:p>
    <w:p>
      <w:pPr>
        <w:spacing w:after="160"/>
      </w:pPr>
      <w:r>
        <w:t xml:space="preserve">Les trois implémentations manuelles concordent avec PyTorch à une tolérance de 1×10⁻⁵, ce qui valide leur exactitude et confirme la bonne compréhension du mécanisme sous-jacent avant son utilisation via les couches PyTorch optimisées.</w:t>
      </w:r>
    </w:p>
    <w:p>
      <w:pPr>
        <w:pStyle w:val="Heading2"/>
      </w:pPr>
      <w:r>
        <w:t xml:space="preserve">3.3 Étape 2 et 3 — Conception et implémentation de l'architecture CNN (variante de LeNet)</w:t>
      </w:r>
    </w:p>
    <w:p>
      <w:pPr>
        <w:spacing w:after="160"/>
      </w:pPr>
      <w:r>
        <w:t xml:space="preserve">L'architecture retenue s'inspire de LeNet-5, avec trois améliorations modernes : l'usage de ReLU plutôt que tanh/sigmoïde pour des gradients plus stables, l'ajout de BatchNorm après chaque convolution pour stabiliser l'entraînement, et un Dropout avant la couche de sortie pour la régularisation. Une convolution 1×1 optionnelle a été intégrée comme hyperparamètre étudié (voir section 3.4) : cette opération ne modifie pas les dimensions spatiales (hauteur, largeur) mais recombine linéairement l'information entre canaux, à un coût de calcul minimal.</w:t>
      </w:r>
    </w:p>
    <w:p>
      <w:pPr>
        <w:spacing w:after="160"/>
      </w:pPr>
      <w:r>
        <w:t xml:space="preserve">La classe LeNetVariant ci-dessous a été conçue avec des hyperparamètres paramétrables (nombre de filtres, type de padding, type de pooling, présence ou non de la convolution 1×1), afin de permettre l'étude comparative menée en section 3.4 sans dupliquer le code pour chaque configuration testée :</w:t>
      </w:r>
    </w:p>
    <w:p>
      <w:pPr>
        <w:spacing w:after="80" w:before="120"/>
        <w:jc w:val="center"/>
      </w:pPr>
      <w:r>
        <w:drawing>
          <wp:inline distT="0" distB="0" distL="0" distR="0">
            <wp:extent cx="5143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609975"/>
                    </a:xfrm>
                    <a:prstGeom prst="rect">
                      <a:avLst/>
                    </a:prstGeom>
                  </pic:spPr>
                </pic:pic>
              </a:graphicData>
            </a:graphic>
          </wp:inline>
        </w:drawing>
      </w:r>
    </w:p>
    <w:p>
      <w:pPr>
        <w:spacing w:after="200"/>
        <w:jc w:val="center"/>
      </w:pPr>
      <w:r>
        <w:rPr>
          <w:i/>
          <w:iCs/>
          <w:color w:val="595959"/>
          <w:sz w:val="18"/>
          <w:szCs w:val="18"/>
        </w:rPr>
        <w:t xml:space="preserve">Capture du notebook Colab — architecture LeNetVariant paramétrable (Partie2_CNN.ipynb, cellule [11]).</w:t>
      </w:r>
    </w:p>
    <w:p>
      <w:pPr>
        <w:pStyle w:val="Heading2"/>
      </w:pPr>
      <w:r>
        <w:t xml:space="preserve">3.4 Étape 4 — Entraînement et étude expérimentale</w:t>
      </w:r>
    </w:p>
    <w:p>
      <w:pPr>
        <w:pStyle w:val="Heading3"/>
      </w:pPr>
      <w:r>
        <w:t xml:space="preserve">3.4.1 Comparaison MLP simple vs CNN</w:t>
      </w:r>
    </w:p>
    <w:p>
      <w:pPr>
        <w:spacing w:after="160"/>
      </w:pPr>
      <w:r>
        <w:t xml:space="preserve">Conformément à l'étape 4 de la démarche méthodologique (section 1), un MLP simple (deux couches cachées, appliqué à l'image aplatie en un vecteur de 784 valeurs) a été entraîné puis comparé au CNN décrit en section 3.3, sur le même découpage du dataset Fashion-MNIST et le même protocole d'entraînement (même optimiseur Adam, même taux d'apprentissage, même taille de batch). La figure ci-dessous présente l'évolution de l'accuracy et de la loss de validation au fil des epochs pour les deux modèles :</w:t>
      </w:r>
    </w:p>
    <w:p>
      <w:pPr>
        <w:spacing w:after="80" w:before="12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595959"/>
          <w:sz w:val="18"/>
          <w:szCs w:val="18"/>
        </w:rPr>
        <w:t xml:space="preserve">Figure 3 — Comparaison de la validation accuracy et de la validation loss entre MLP simple et CNN, sur Fashion-MNIST.</w:t>
      </w:r>
    </w:p>
    <w:p>
      <w:pPr>
        <w:spacing w:after="160"/>
      </w:pPr>
      <w:r>
        <w:t xml:space="preserve">Le CNN atteint une accuracy de validation supérieure dès la première epoch (0,883 contre 0,843 pour le MLP) et conserve cet avantage tout au long de l'entraînement, se stabilisant autour de 0,915-0,920 contre 0,885-0,890 pour le MLP à partir de l'epoch 10 environ — un écart constant d'environ 3 points de pourcentage en faveur du CNN. De manière symétrique, la loss de validation du CNN reste systématiquement inférieure à celle du MLP sur l'ensemble de l'entraînement (convergeant vers environ 0,23-0,25 contre 0,31-0,32 pour le MLP), confirmant que l'écart d'accuracy ne résulte pas d'un simple effet de seuil de décision mais d'une distribution de probabilités prédites globalement mieux calibrée par le CNN.</w:t>
      </w:r>
    </w:p>
    <w:p>
      <w:pPr>
        <w:spacing w:after="160"/>
      </w:pPr>
      <w:r>
        <w:t xml:space="preserve">On observe également que les deux courbes de validation accuracy présentent des oscillations (« dents de scie ») d'amplitude comparable, suggérant une sensibilité similaire des deux modèles au choix du mini-lot à chaque epoch — ce qui est attendu, la taille du batch et le taux d'apprentissage étant identiques dans les deux protocoles.</w:t>
      </w:r>
    </w:p>
    <w:p>
      <w:pPr>
        <w:pStyle w:val="Heading3"/>
      </w:pPr>
      <w:r>
        <w:t xml:space="preserve">3.4.2 Visualisation des cartes de caractéristiques</w:t>
      </w:r>
    </w:p>
    <w:p>
      <w:pPr>
        <w:spacing w:after="160"/>
      </w:pPr>
      <w:r>
        <w:t xml:space="preserve">Afin d'illustrer concrètement ce que le réseau apprend à chaque couche — étape qualitative complémentaire à l'évaluation quantitative — les cartes de caractéristiques (feature maps) produites par les six premiers filtres de la première couche convolutive ont été extraites et visualisées pour une image test représentant une bottine (« Ankle boot ») :</w:t>
      </w:r>
    </w:p>
    <w:p>
      <w:pPr>
        <w:spacing w:after="80" w:before="120"/>
        <w:jc w:val="center"/>
      </w:pPr>
      <w:r>
        <w:drawing>
          <wp:inline distT="0" distB="0" distL="0" distR="0">
            <wp:extent cx="571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076325"/>
                    </a:xfrm>
                    <a:prstGeom prst="rect">
                      <a:avLst/>
                    </a:prstGeom>
                  </pic:spPr>
                </pic:pic>
              </a:graphicData>
            </a:graphic>
          </wp:inline>
        </w:drawing>
      </w:r>
    </w:p>
    <w:p>
      <w:pPr>
        <w:spacing w:after="200"/>
        <w:jc w:val="center"/>
      </w:pPr>
      <w:r>
        <w:rPr>
          <w:i/>
          <w:iCs/>
          <w:color w:val="595959"/>
          <w:sz w:val="18"/>
          <w:szCs w:val="18"/>
        </w:rPr>
        <w:t xml:space="preserve">Figure 4 — Cartes de caractéristiques (feature maps) des 6 premiers filtres de la première couche convolutive, pour une image test de classe « Ankle boot ».</w:t>
      </w:r>
    </w:p>
    <w:p>
      <w:pPr>
        <w:spacing w:after="160"/>
      </w:pPr>
      <w:r>
        <w:t xml:space="preserve">Plusieurs filtres (notamment les filtres #0, #1, #2 et #3) font apparaître nettement les contours de l'objet — silhouette générale de la chaussure, ligne de la semelle, jonction entre la tige et la semelle — confirmant empiriquement l'argument théorique selon lequel les premières couches convolutives d'un CNN apprennent à détecter des motifs élémentaires de type contours et transitions d'intensité, plutôt que des caractéristiques sémantiquement abstraites.</w:t>
      </w:r>
    </w:p>
    <w:p>
      <w:pPr>
        <w:spacing w:after="160"/>
      </w:pPr>
      <w:r>
        <w:t xml:space="preserve">Le filtre #4 se distingue des autres par une réponse quasi binaire occupant la moitié supérieure de l'image (zone de fond) par opposition à la moitié inférieure (zone de l'objet), suggérant que ce filtre encode davantage une séparation globale figure/fond qu'un contour local précis — illustrant la diversité des motifs appris en parallèle par les différents filtres d'une même couche convolutive, même à un stade aussi précoce du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Section à compléter</w:t>
            </w:r>
          </w:p>
          <w:p>
            <w:r>
              <w:rPr>
                <w:color w:val="1A1A1A"/>
                <w:sz w:val="20"/>
                <w:szCs w:val="20"/>
              </w:rPr>
              <w:t xml:space="preserve">Les éléments suivants restent à intégrer une fois disponibles : (1) le tableau comparatif complet des 5 configurations architecturales testées (padding, average vs max pooling, nombre de filtres, présence d'une convolution 1×1) avec val_accuracy, nombre de paramètres et temps d'entraînement (fichier tableau_comparatif_architectures.csv) ; (2) les métriques finales détaillées du meilleur CNN sur le test set (accuracy, precision, recall, F1-macro) et sa matrice de confusion complète (10 classes) ; (3) le tableau récapitulatif final MLP vs CNN avec accuracy de test, F1-macro et nombre de paramètres pour chaque modèle.</w:t>
            </w:r>
          </w:p>
        </w:tc>
      </w:tr>
    </w:tbl>
    <w:p>
      <w:pPr>
        <w:pStyle w:val="Heading2"/>
      </w:pPr>
      <w:r>
        <w:t xml:space="preserve">3.5 Étape 5 — Analyse critique</w:t>
      </w:r>
    </w:p>
    <w:p>
      <w:pPr>
        <w:spacing w:after="160"/>
      </w:pPr>
      <w:r>
        <w:t xml:space="preserve">L'écart de performance observé entre MLP et CNN (environ 3 points d'accuracy en faveur du CNN, avec une loss de validation inférieure d'environ 0,07-0,08 point) constitue une confirmation empirique directe des arguments théoriques développés en section 3.1.1. Le CNN, en exploitant la localité spatiale et le partage des poids, parvient à extraire des caractéristiques visuelles pertinentes (contours, silhouette, cf. section 3.4.2) avec une efficacité statistique supérieure à celle d'un MLP qui doit, lui, apprendre ces mêmes régularités à partir de connexions denses sans aucune contrainte structurelle a priori, donc avec une efficacité d'apprentissage par échantillon strictement inférieure.</w:t>
      </w:r>
    </w:p>
    <w:p>
      <w:pPr>
        <w:spacing w:after="160"/>
      </w:pPr>
      <w:r>
        <w:t xml:space="preserve">L'avantage du CNN, déjà net dès la première epoch (0,883 contre 0,843), suggère par ailleurs que cet écart n'est pas uniquement un effet de meilleure convergence à terme, mais reflète une différence de biais inductif favorable dès les premières itérations d'apprentissage — cohérent avec l'idée que le CNN n'a pas à « découvrir » la pertinence de la structure spatiale, celle-ci étant câblée dans son architecture 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À compléter</w:t>
            </w:r>
          </w:p>
          <w:p>
            <w:r>
              <w:rPr>
                <w:color w:val="1A1A1A"/>
                <w:sz w:val="20"/>
                <w:szCs w:val="20"/>
              </w:rPr>
              <w:t xml:space="preserve">Compléter cette analyse critique avec l'effet comparé du padding, du max- vs average-pooling, du nombre de filtres et de la convolution 1×1 une fois le tableau comparatif des 5 configurations disponible (section 3.4.1, données manquantes).</w:t>
            </w:r>
          </w:p>
        </w:tc>
      </w:tr>
    </w:tbl>
    <w:p>
      <w:pPr>
        <w:pStyle w:val="Heading2"/>
      </w:pPr>
      <w:r>
        <w:t xml:space="preserve">3.6 Question de synthèse — Partie II</w:t>
      </w:r>
    </w:p>
    <w:p>
      <w:pPr>
        <w:spacing w:after="160"/>
      </w:pPr>
      <w:r>
        <w:rPr>
          <w:i/>
          <w:iCs/>
          <w:color w:val="595959"/>
        </w:rPr>
        <w:t xml:space="preserve">Pourquoi un CNN est-il plus pertinent qu'un MLP pour une tâche de classification d'images sur un dataset réel, et comment les choix de padding, stride, pooling et profondeur influencent-ils réellement les performances du modèle ?</w:t>
      </w:r>
    </w:p>
    <w:p>
      <w:pPr>
        <w:spacing w:after="160"/>
      </w:pPr>
      <w:r>
        <w:t xml:space="preserve">La pertinence supérieure du CNN sur des données image découle directement des trois principes exposés en section 3.1.1 : la localité, qui concentre la capacité du modèle sur les motifs visuels effectivement informatifs (contours, textures locales) plutôt que sur des connexions denses peu pertinentes ; le partage des poids, qui réduit drastiquement le nombre de paramètres à apprendre par rapport à un MLP de capacité comparable, tout en conférant une invariance par translation ; et la hiérarchie des représentations, qui permet au réseau de construire progressivement, couche après couche, des caractéristiques de complexité croissante, des bords élémentaires jusqu'aux formes composées.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Résultats expérimentaux à l'appui</w:t>
            </w:r>
          </w:p>
          <w:p>
            <w:r>
              <w:rPr>
                <w:color w:val="1A1A1A"/>
                <w:sz w:val="20"/>
                <w:szCs w:val="20"/>
              </w:rPr>
              <w:t xml:space="preserve">La comparaison expérimentale menée en section 3.4.1 confirme directement cet argument théorique : le CNN atteint une accuracy de validation supérieure d'environ 3 points de pourcentage au MLP simple dès la première epoch (0,883 contre 0,843) et tout au long de l'entraînement (stabilisation autour de 0,915-0,920 contre 0,885-0,890), avec une loss de validation systématiquement inférieure (environ 0,23-0,25 contre 0,31-0,32). Cet écart, déjà net en tout début d'entraînement, illustre concrètement comment le biais inductif spatial du CNN se traduit par un avantage d'efficacité d'apprentissage par échantillon, et non uniquement par une meilleure performance asymptotique.</w:t>
            </w:r>
          </w:p>
        </w:tc>
      </w:tr>
    </w:tbl>
    <w:p>
      <w:pPr>
        <w:spacing w:after="160"/>
      </w:pPr>
      <w:r>
        <w:t xml:space="preserve">Le padding influence la taille spatiale conservée à chaque couche et donc le nombre de couches convolutives qu'il est possible d'empiler avant que les dimensions ne deviennent trop réduites ; un padding « same » permet de préserver les dimensions d'entrée pour faciliter la conception d'architectures profondes. Le stride contrôle la sous-résolution spatiale opérée par la convolution elle-même, jouant un rôle proche de celui du pooling mais directement intégré à la convolution. Le pooling, qu'il soit de type max ou moyenne, réduit la dimensionnalité spatiale tout en introduisant une forme d'invariance aux petites translations locales, au prix d'une perte d'information de localisation fine. Enfin, la profondeur du réseau (nombre de couches convolutives empilées) conditionne directement la taille du champ réceptif effectif, et donc la complexité des motifs que le réseau est susceptible de représenter — un compromis devant néanmoins être mis en balance avec le risque de sur-apprentissage et le coût de calcul, particulièrement sensible sur un dataset de taille modeste comme Fashion-MNIST.</w:t>
      </w:r>
    </w:p>
    <w:p>
      <w:r>
        <w:br w:type="page"/>
      </w:r>
    </w:p>
    <w:p>
      <w:pPr>
        <w:pStyle w:val="Heading1"/>
      </w:pPr>
      <w:r>
        <w:t xml:space="preserve">4. Partie III — RNN, LSTM, GRU et Seq2Seq</w:t>
      </w:r>
    </w:p>
    <w:p>
      <w:pPr>
        <w:pStyle w:val="Heading2"/>
      </w:pPr>
      <w:r>
        <w:t xml:space="preserve">4.1 Présentation théorique</w:t>
      </w:r>
    </w:p>
    <w:p>
      <w:pPr>
        <w:pStyle w:val="Heading3"/>
      </w:pPr>
      <w:r>
        <w:t xml:space="preserve">4.1.1 Modélisation probabiliste des séquences</w:t>
      </w:r>
    </w:p>
    <w:p>
      <w:pPr>
        <w:spacing w:after="160"/>
      </w:pPr>
      <w:r>
        <w:t xml:space="preserve">Un modèle de langage cherche à estimer la probabilité d'une séquence de tokens (w₁, w₂, …, w_T). Par la règle de dérivation en chaîne des probabilités, cette probabilité jointe se factorise comme un produit de probabilités conditionnelles : P(w₁,…,w_T) = P(w₁) × P(w₂|w₁) × … × P(w_T|w₁,…,w_{T-1}). Un réseau récurrent approche chaque facteur P(w_t | w₁,…,w_{t-1}) en résumant l'historique dans un état caché h_t, mis à jour séquentiellement.</w:t>
      </w:r>
    </w:p>
    <w:p>
      <w:pPr>
        <w:spacing w:after="160"/>
      </w:pPr>
      <w:r>
        <w:t xml:space="preserve">Pour une tâche de classification de séquence (le cas de la classification de sentiment sur IMDb traitée dans ce projet), le réseau récurrent n'est pas utilisé pour modéliser la distribution du prochain mot, mais comme encodeur de séquence : son état caché final résume l'ensemble de la séquence en un vecteur de taille fixe, ensuite projeté vers les classes cibles par une couche linéaire.</w:t>
      </w:r>
    </w:p>
    <w:p>
      <w:pPr>
        <w:spacing w:after="160"/>
      </w:pPr>
      <w:r>
        <w:t xml:space="preserve">La perplexité, définie comme PP = exp(loss d'entropie croisée), mesure le nombre moyen de choix « équiprobables » parmi lesquels le modèle hésite à chaque position d'une séquence ; plus elle est faible, plus le modèle est à la fois confiant et correct. Cette métrique est l'évaluation standard d'un modèle de langage (prédiction du prochain token) ; elle est utilisée dans ce rapport pour la tâche de traduction (section 4.7), et non pour la classification de sentiment, pour laquelle l'accuracy et le F1-score sont plus pertinents.</w:t>
      </w:r>
    </w:p>
    <w:p>
      <w:pPr>
        <w:pStyle w:val="Heading3"/>
      </w:pPr>
      <w:r>
        <w:t xml:space="preserve">4.1.2 RNN, LSTM, GRU : formulation et comparaison</w:t>
      </w:r>
    </w:p>
    <w:p>
      <w:pPr>
        <w:spacing w:after="160"/>
      </w:pPr>
      <w:r>
        <w:t xml:space="preserve">Le RNN simple met à jour son état caché par une transformation non linéaire de l'état précédent et de l'entrée courante. Cette architecture est sujette, sur des séquences longues, au phénomène de vanishing ou exploding gradient lors de la rétropropagation à travers le temps (BPTT) : le gradient, propagé à rebours sur toute la longueur de la séquence, résulte d'un produit répété de Jacobiennes susceptible de tendre vers zéro ou de diverger.</w:t>
      </w:r>
    </w:p>
    <w:p>
      <w:pPr>
        <w:spacing w:after="160"/>
      </w:pPr>
      <w:r>
        <w:t xml:space="preserve">Les architectures LSTM et GRU répondent à cette limite par l'introduction de mécanismes de portes (gates), qui régulent explicitement le flux d'information conservé, oublié ou ajouté à l'état interne. Le LSTM maintient une cellule mémoire distincte de l'état caché, contrôlée par trois portes (oubli, entrée, sortie). Le GRU constitue une simplification du LSTM, fusionnant la cellule mémoire et l'état caché et ne comportant que deux portes (mise à jour et réinitialisation), ce qui réduit le nombre de paramètres et le coût de calcul, au prix d'une expressivité théoriquement légèrement inférieure.</w:t>
      </w:r>
    </w:p>
    <w:p>
      <w:pPr>
        <w:pStyle w:val="Heading3"/>
      </w:pPr>
      <w:r>
        <w:t xml:space="preserve">4.1.3 Rétropropagation à travers le temps et gradient clipping</w:t>
      </w:r>
    </w:p>
    <w:p>
      <w:pPr>
        <w:spacing w:after="160"/>
      </w:pPr>
      <w:r>
        <w:t xml:space="preserve">La rétropropagation à travers le temps (BPTT) consiste à déplier le réseau récurrent sur toute la longueur de la séquence traitée, puis à appliquer la règle de dérivation en chaîne sur cette profondeur effective. Le gradient clipping consiste à limiter la norme du gradient total avant la mise à jour des paramètres : si cette norme dépasse un seuil fixé, le gradient est redimensionné selon g ← g × min(1, seuil / ‖g‖), ce qui borne l'amplitude du pas d'optimisation sans en modifier la direction, stabilisant ainsi l'entraînement sans fausser la trajectoire d'optimisation.</w:t>
      </w:r>
    </w:p>
    <w:p>
      <w:pPr>
        <w:pStyle w:val="Heading2"/>
      </w:pPr>
      <w:r>
        <w:t xml:space="preserve">4.2 Étape 1 — Préparation des données (IMDb)</w:t>
      </w:r>
    </w:p>
    <w:p>
      <w:pPr>
        <w:spacing w:after="160"/>
      </w:pPr>
      <w:r>
        <w:t xml:space="preserve">Le corpus IMDb (50 000 critiques de films, sentiment positif ou négatif) a été préparé selon les sous-étapes suivantes :</w:t>
      </w:r>
    </w:p>
    <w:p>
      <w:pPr>
        <w:pStyle w:val="ListParagraph"/>
        <w:numPr>
          <w:ilvl w:val="0"/>
          <w:numId w:val="5"/>
        </w:numPr>
        <w:spacing w:after="90"/>
      </w:pPr>
      <w:r>
        <w:rPr>
          <w:b/>
          <w:bCs/>
        </w:rPr>
        <w:t xml:space="preserve">Nettoyage et tokenisation : </w:t>
      </w:r>
      <w:r>
        <w:t xml:space="preserve">suppression des balises HTML résiduelles (fréquentes dans ce corpus, issu du scraping de pages web), mise en minuscules systématique, puis extraction des tokens par expression régulière conservant uniquement les suites de caractères alphabétiques.</w:t>
      </w:r>
    </w:p>
    <w:p>
      <w:pPr>
        <w:pStyle w:val="ListParagraph"/>
        <w:numPr>
          <w:ilvl w:val="0"/>
          <w:numId w:val="5"/>
        </w:numPr>
        <w:spacing w:after="90"/>
      </w:pPr>
      <w:r>
        <w:rPr>
          <w:b/>
          <w:bCs/>
        </w:rPr>
        <w:t xml:space="preserve">Construction du vocabulaire : </w:t>
      </w:r>
      <w:r>
        <w:t xml:space="preserve">comptage des fréquences sur le corpus d'entraînement, restriction aux 15 000 tokens les plus fréquents, complété par les tokens spéciaux &lt;pad&gt; (remplissage) et &lt;unk&gt; (mot hors vocabulaire) pour gérer les mots non rencontrés à l'entraînement.</w:t>
      </w:r>
    </w:p>
    <w:p>
      <w:pPr>
        <w:pStyle w:val="ListParagraph"/>
        <w:numPr>
          <w:ilvl w:val="0"/>
          <w:numId w:val="5"/>
        </w:numPr>
        <w:spacing w:after="90"/>
      </w:pPr>
      <w:r>
        <w:rPr>
          <w:b/>
          <w:bCs/>
        </w:rPr>
        <w:t xml:space="preserve">Troncature et padding dynamique : </w:t>
      </w:r>
      <w:r>
        <w:t xml:space="preserve">les séquences ont été tronquées à 200 tokens pour limiter le coût de calcul de la rétropropagation à travers le temps. Un padding dynamique par lot (collate_fn) a été appliqué — chaque batch est complété à la longueur de sa séquence la plus longue, plutôt qu'à une longueur fixe globale — accompagné de la conservation des longueurs réelles de chaque séquence, permettant de masquer le padding lors du calcul récurrent via pack_padded_sequence.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Limite méthodologique assumée</w:t>
            </w:r>
          </w:p>
          <w:p>
            <w:r>
              <w:rPr>
                <w:color w:val="1A1A1A"/>
                <w:sz w:val="20"/>
                <w:szCs w:val="20"/>
              </w:rPr>
              <w:t xml:space="preserve">Pour des raisons de temps de calcul disponible sur l'environnement Google Colab, un sous-échantillonnage a été appliqué : 8 000 exemples d'entraînement (dont 7 200 effectivement utilisés pour l'apprentissage et 800 pour la validation) et 2 000 exemples de test, au lieu des 50 000 exemples disponibles dans le corpus complet. Cette concession pragmatique est mentionnée explicitement comme limite de l'étude expérimentale ; elle n'invalide pas la comparaison relative entre architectures (RNN, LSTM, GRU), menée toutes choses égales par ailleurs sur le même sous-ensemble.</w:t>
            </w:r>
          </w:p>
        </w:tc>
      </w:tr>
    </w:tbl>
    <w:p>
      <w:pPr>
        <w:pStyle w:val="Heading2"/>
      </w:pPr>
      <w:r>
        <w:t xml:space="preserve">4.3 Étape 2 et 3 — Conception et implémentation de l'architecture</w:t>
      </w:r>
    </w:p>
    <w:p>
      <w:pPr>
        <w:spacing w:after="160"/>
      </w:pPr>
      <w:r>
        <w:t xml:space="preserve">Une architecture d'encodeur de séquence générique a été implémentée, permettant de basculer entre RNN simple, LSTM et GRU par un simple paramètre (rnn_type), sans dupliquer le code — ce qui garantit une comparaison rigoureuse toutes choses égales par ailleurs. L'encodeur est bidirectionnel (lecture de la séquence dans les deux sens), et les états cachés finaux des deux directions sont concatenés avant projection vers la sortie de classification binaire :</w:t>
      </w:r>
    </w:p>
    <w:p>
      <w:pPr>
        <w:spacing w:after="80" w:before="120"/>
        <w:jc w:val="center"/>
      </w:pPr>
      <w:r>
        <w:drawing>
          <wp:inline distT="0" distB="0" distL="0" distR="0">
            <wp:extent cx="5334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933825"/>
                    </a:xfrm>
                    <a:prstGeom prst="rect">
                      <a:avLst/>
                    </a:prstGeom>
                  </pic:spPr>
                </pic:pic>
              </a:graphicData>
            </a:graphic>
          </wp:inline>
        </w:drawing>
      </w:r>
    </w:p>
    <w:p>
      <w:pPr>
        <w:spacing w:after="200"/>
        <w:jc w:val="center"/>
      </w:pPr>
      <w:r>
        <w:rPr>
          <w:i/>
          <w:iCs/>
          <w:color w:val="595959"/>
          <w:sz w:val="18"/>
          <w:szCs w:val="18"/>
        </w:rPr>
        <w:t xml:space="preserve">Capture du notebook Colab — encodeur de séquence générique paramétrable RNN / LSTM / GRU (Partie3_RNN_LSTM_GRU.ipynb, cellule [9]).</w:t>
      </w:r>
    </w:p>
    <w:p>
      <w:pPr>
        <w:pStyle w:val="Heading2"/>
      </w:pPr>
      <w:r>
        <w:t xml:space="preserve">4.4 Étape 4 — Entraînement et résultats expérimentaux</w:t>
      </w:r>
    </w:p>
    <w:p>
      <w:pPr>
        <w:pStyle w:val="Heading3"/>
      </w:pPr>
      <w:r>
        <w:t xml:space="preserve">4.4.1 Résultat obtenu — RNN simple</w:t>
      </w:r>
    </w:p>
    <w:p>
      <w:pPr>
        <w:spacing w:after="160"/>
      </w:pPr>
      <w:r>
        <w:t xml:space="preserve">L'entraînement du RNN simple a été mené sur 5 epochs avant déclenchement de l'arrêt précoce (early stopping), la validation loss ne s'améliorant plus. Le tableau ci-dessous présente l'évolution observée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1620"/>
        <w:gridCol w:w="1620"/>
        <w:gridCol w:w="1620"/>
        <w:gridCol w:w="1620"/>
        <w:gridCol w:w="1600"/>
      </w:tblGrid>
      <w:tr>
        <w:tc>
          <w:tcPr>
            <w:tcW w:type="dxa" w:w="128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Epoch</w:t>
            </w:r>
          </w:p>
        </w:tc>
        <w:tc>
          <w:tcPr>
            <w:tcW w:type="dxa" w:w="16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Train loss</w:t>
            </w:r>
          </w:p>
        </w:tc>
        <w:tc>
          <w:tcPr>
            <w:tcW w:type="dxa" w:w="16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Train acc.</w:t>
            </w:r>
          </w:p>
        </w:tc>
        <w:tc>
          <w:tcPr>
            <w:tcW w:type="dxa" w:w="16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Val loss</w:t>
            </w:r>
          </w:p>
        </w:tc>
        <w:tc>
          <w:tcPr>
            <w:tcW w:type="dxa" w:w="162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Val acc.</w:t>
            </w:r>
          </w:p>
        </w:tc>
        <w:tc>
          <w:tcPr>
            <w:tcW w:type="dxa" w:w="160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Norme grad. moy.</w:t>
            </w:r>
          </w:p>
        </w:tc>
      </w:tr>
      <w:tr>
        <w:tc>
          <w:tcPr>
            <w:tcW w:type="dxa" w:w="12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0,7030</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0,532</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0,6818</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0,576</w:t>
            </w:r>
          </w:p>
        </w:tc>
        <w:tc>
          <w:tcPr>
            <w:tcW w:type="dxa" w:w="16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0,88</w:t>
            </w:r>
          </w:p>
        </w:tc>
      </w:tr>
      <w:tr>
        <w:tc>
          <w:tcPr>
            <w:tcW w:type="dxa" w:w="12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0,6757</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0,583</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0,6856</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0,564</w:t>
            </w:r>
          </w:p>
        </w:tc>
        <w:tc>
          <w:tcPr>
            <w:tcW w:type="dxa" w:w="16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0,98</w:t>
            </w:r>
          </w:p>
        </w:tc>
      </w:tr>
      <w:tr>
        <w:tc>
          <w:tcPr>
            <w:tcW w:type="dxa" w:w="12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2</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0,6437</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0,630</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0,7416</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0,488</w:t>
            </w:r>
          </w:p>
        </w:tc>
        <w:tc>
          <w:tcPr>
            <w:tcW w:type="dxa" w:w="16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1,22</w:t>
            </w:r>
          </w:p>
        </w:tc>
      </w:tr>
      <w:tr>
        <w:tc>
          <w:tcPr>
            <w:tcW w:type="dxa" w:w="12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3</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0,6669</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0,584</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0,7048</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0,544</w:t>
            </w:r>
          </w:p>
        </w:tc>
        <w:tc>
          <w:tcPr>
            <w:tcW w:type="dxa" w:w="16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1,55</w:t>
            </w:r>
          </w:p>
        </w:tc>
      </w:tr>
      <w:tr>
        <w:tc>
          <w:tcPr>
            <w:tcW w:type="dxa" w:w="12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4</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0,6222</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0,655</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0,6917</w:t>
            </w:r>
          </w:p>
        </w:tc>
        <w:tc>
          <w:tcPr>
            <w:tcW w:type="dxa" w:w="162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0,555</w:t>
            </w:r>
          </w:p>
        </w:tc>
        <w:tc>
          <w:tcPr>
            <w:tcW w:type="dxa" w:w="160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1,18</w:t>
            </w:r>
          </w:p>
        </w:tc>
      </w:tr>
    </w:tbl>
    <w:p>
      <w:pPr>
        <w:spacing w:after="160"/>
      </w:pPr>
      <w:r>
        <w:t xml:space="preserve">Sur le jeu de test, le RNN simple obtient une accuracy de 0,5695 et un F1-score de 0,5806, pour un modèle comportant 1 986 305 paramètres entraînables.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Section à compléter — LSTM et GRU</w:t>
            </w:r>
          </w:p>
          <w:p>
            <w:r>
              <w:rPr>
                <w:color w:val="1A1A1A"/>
                <w:sz w:val="20"/>
                <w:szCs w:val="20"/>
              </w:rPr>
              <w:t xml:space="preserve">L'entraînement du LSTM a été interrompu avant complétion lors de l'exécution sur Colab (l'environnement étant alors configuré en CPU, l'entraînement du RNN simple seul ayant nécessité environ 14 minutes pour 5 epochs). Les résultats du LSTM et du GRU doivent être ajoutés ici après relance du script Partie3_RNN_LSTM_GRU.py avec accélération GPU activée (Exécution &gt; Modifier le type d'exécution &gt; GPU). Une fois disponibles, compléter : le tableau comparatif des 3 architectures (test_accuracy, test_f1, nombre de paramètres, temps d'entraînement), la figure de comparaison des courbes de validation, et la figure illustrant l'effet du gradient clipping sur la norme du gradient.</w:t>
            </w:r>
          </w:p>
        </w:tc>
      </w:tr>
    </w:tbl>
    <w:p>
      <w:pPr>
        <w:pStyle w:val="Heading2"/>
      </w:pPr>
      <w:r>
        <w:t xml:space="preserve">4.5 Étape 5 — Analyse critique (partielle)</w:t>
      </w:r>
    </w:p>
    <w:p>
      <w:pPr>
        <w:spacing w:after="160"/>
      </w:pPr>
      <w:r>
        <w:t xml:space="preserve">Le résultat obtenu pour le RNN simple, bien qu'incomplet en l'absence des architectures LSTM et GRU pour comparaison directe, présente déjà des signaux cohérents avec les limites théoriques exposées en section 4.1.2. On observe en particulier une instabilité marquée de la validation accuracy au fil des epochs (0,576 → 0,564 → 0,488 → 0,544 → 0,555, sans tendance monotone), conjuguée à une augmentation progressive de la norme moyenne du gradient (de 0,88 à un pic de 1,55 à l'epoch 3). Cette combinaison est cohérente avec la sensibilité connue du RNN simple au phénomène d'exploding gradient sur des séquences de longueur non négligeable (ici tronquées à 200 tokens) : malgré l'application du gradient clipping (seuil fixé à 5,0), l'optimisation reste visiblement plus erratique que ce qu'on attendrait d'une architecture à 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À compléter</w:t>
            </w:r>
          </w:p>
          <w:p>
            <w:r>
              <w:rPr>
                <w:color w:val="1A1A1A"/>
                <w:sz w:val="20"/>
                <w:szCs w:val="20"/>
              </w:rPr>
              <w:t xml:space="preserve">Compléter cette analyse par la comparaison directe avec LSTM et GRU une fois ces résultats disponibles : vérifier si la stabilité de la validation loss/accuracy s'améliore effectivement avec les architectures à portes, comparer le nombre de paramètres et le temps d'entraînement entre LSTM et GRU (le second étant attendu plus économe), et discuter l'écart de performance final entre les trois architectures.</w:t>
            </w:r>
          </w:p>
        </w:tc>
      </w:tr>
    </w:tbl>
    <w:p>
      <w:pPr>
        <w:pStyle w:val="Heading2"/>
      </w:pPr>
      <w:r>
        <w:t xml:space="preserve">4.6 Question de synthèse — Partie III (RNN/LSTM/GRU)</w:t>
      </w:r>
    </w:p>
    <w:p>
      <w:pPr>
        <w:spacing w:after="160"/>
      </w:pPr>
      <w:r>
        <w:rPr>
          <w:i/>
          <w:iCs/>
          <w:color w:val="595959"/>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160"/>
      </w:pPr>
      <w:r>
        <w:t xml:space="preserve">Les architectures récurrentes permettent de modéliser une séquence réelle en résumant progressivement son contenu dans un état caché de taille fixe, mis à jour à chaque pas de temps. Le RNN simple constitue la formulation la plus directe de ce principe, mais sa capacité à retenir une information sur une longue distance temporelle est structurellement limitée par le phénomène de vanishing/exploding gradient inhérent à la rétropropagation à travers le temps, comme l'illustrent, sur le corpus IMDb étudié, l'instabilité de la validation accuracy et la croissance de la norme du gradient observées en section 4.4.1.</w:t>
      </w:r>
    </w:p>
    <w:p>
      <w:pPr>
        <w:spacing w:after="160"/>
      </w:pPr>
      <w:r>
        <w:t xml:space="preserve">Le passage vers le LSTM puis le GRU se justifie par l'introduction de mécanismes de portes, qui permettent au réseau de réguler explicitement la conservation ou l'oubli d'information dans son état interne, atténuant ainsi le problème de mémoire à long terme. Le passage vers un schéma encodeur-décodeur (Seq2Seq), enfin, se justifie par la nature même d'une tâche de génération ou de traduction : à la différence d'une classification de séquence, qui ne requiert qu'un résumé final de la séquence d'entrée, une tâche de traduction nécessite de produire une séquence de sortie de longueur potentiellement différente de celle de l'entrée, token par token, ce que seul un décodeur autoregressif, initialisé par le contexte produit par un encodeur, permet de réaliser nativement.</w:t>
      </w:r>
    </w:p>
    <w:p>
      <w:pPr>
        <w:pStyle w:val="Heading2"/>
      </w:pPr>
      <w:r>
        <w:t xml:space="preserve">4.7 Étape 1, 2 et 3 — Système Seq2Seq encodeur-décodeur</w:t>
      </w:r>
    </w:p>
    <w:p>
      <w:pPr>
        <w:pStyle w:val="Heading3"/>
      </w:pPr>
      <w:r>
        <w:t xml:space="preserve">4.7.1 Justification du choix de corpus</w:t>
      </w:r>
    </w:p>
    <w:p>
      <w:pPr>
        <w:spacing w:after="160"/>
      </w:pPr>
      <w:r>
        <w:t xml:space="preserve">Le cahier des charges demande l'utilisation du corpus IMDb pour la Partie III. IMDb est cependant un corpus de classification (sentiment positif/négatif), et non un corpus parallèle : il ne comporte pas de paires (séquence source, séquence cible) alignées. Or un système encodeur-décodeur requiert par construction un tel corpus parallèle. Le cahier des charges autorisant explicitement un corpus de traduction de type « Tatoeba / fra-eng simplifié » ou tout corpus équivalent validé, un corpus parallèle anglais-français a été utilisé pour cette sous-partie spécifique, en complément du corpus IMDb employé pour la classification de sentiment (section 4.4).</w:t>
      </w:r>
    </w:p>
    <w:p>
      <w:pPr>
        <w:spacing w:after="160"/>
      </w:pPr>
      <w:r>
        <w:t xml:space="preserve">Le téléchargement direct du corpus Tatoeba (fra-eng) depuis sa source habituelle (manythings.org) s'étant révélé impossible dans l'environnement d'exécution (blocage des requêtes automatisées par le serveur), un corpus parallèle anglais-français équivalent en nature — phrase à phrase, alignement humain — a été utilisé en substitution : le corpus opus_books (sous-ensemble anglais-français), accessible de manière stable via la bibliothèque Hugging Face Datasets.</w:t>
      </w:r>
    </w:p>
    <w:p>
      <w:pPr>
        <w:pStyle w:val="Heading3"/>
      </w:pPr>
      <w:r>
        <w:t xml:space="preserve">4.7.2 Préparation des données</w:t>
      </w:r>
    </w:p>
    <w:p>
      <w:pPr>
        <w:spacing w:after="160"/>
      </w:pPr>
      <w:r>
        <w:t xml:space="preserve">Les phrases du corpus ont été préparées selon les sous-étapes suivantes : normalisation (mise en minuscules, isolement de la ponctuation de base, suppression des caractères non alphabétiques superflus) ; filtrage pour ne conserver que les paires dont les deux phrases (source et cible) ne dépassent pas 15 tokens, afin d'obtenir un corpus simplifié conforme à l'esprit du cahier des charges ; sous-échantillonnage à 6 000 paires pour limiter le temps de calcul ; construction de deux vocabulaires distincts (un pour l'anglais, un pour le français), chacun incluant quatre tokens spéciaux : &lt;pad&gt; (remplissage), &lt;sos&gt; (début de séquence, injecté en entrée du décodeur au premier pas de temps), &lt;eos&gt; (fin de séquence, signalant l'arrêt de la génération) et &lt;unk&gt; (mot hors vocabulaire). Le corpus a finalement été divisé en 80 % pour l'entraînement, 10 % pour la validation et 10 % pour le test.</w:t>
      </w:r>
    </w:p>
    <w:p>
      <w:pPr>
        <w:pStyle w:val="Heading3"/>
      </w:pPr>
      <w:r>
        <w:t xml:space="preserve">4.7.3 Architecture encodeur-décodeur et implémentation</w:t>
      </w:r>
    </w:p>
    <w:p>
      <w:pPr>
        <w:spacing w:after="160"/>
      </w:pPr>
      <w:r>
        <w:t xml:space="preserve">L'encodeur, une couche GRU, lit la séquence source dans son intégralité et produit un état caché final résumant la phrase source en un vecteur de contexte de taille fixe. Le décodeur, également une couche GRU, génère la séquence cible token par token : à chaque pas de temps, il reçoit le token précédent — la vérité terrain pendant l'entraînement (teacher forcing) ou sa propre prédiction précédente en inférence — et produit une distribution de probabilité sur le vocabulaire cible, initialisée par l'état caché transmis par l'encodeur.</w:t>
      </w:r>
    </w:p>
    <w:p>
      <w:pPr>
        <w:spacing w:after="80" w:before="12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971925"/>
                    </a:xfrm>
                    <a:prstGeom prst="rect">
                      <a:avLst/>
                    </a:prstGeom>
                  </pic:spPr>
                </pic:pic>
              </a:graphicData>
            </a:graphic>
          </wp:inline>
        </w:drawing>
      </w:r>
    </w:p>
    <w:p>
      <w:pPr>
        <w:spacing w:after="200"/>
        <w:jc w:val="center"/>
      </w:pPr>
      <w:r>
        <w:rPr>
          <w:i/>
          <w:iCs/>
          <w:color w:val="595959"/>
          <w:sz w:val="18"/>
          <w:szCs w:val="18"/>
        </w:rPr>
        <w:t xml:space="preserve">Capture du notebook Colab — classes Encoder et Decoder, et boucle de décodage avec teacher forcing (Partie3_Seq2Seq.ipynb, cellule [15]).</w:t>
      </w:r>
    </w:p>
    <w:p>
      <w:pPr>
        <w:spacing w:after="160"/>
      </w:pPr>
      <w:r>
        <w:t xml:space="preserve">Le teacher forcing, appliqué avec un ratio de 0,5 pendant l'entraînement, consiste à alterner aléatoirement, à chaque pas de temps du décodeur, entre l'utilisation du token cible réel et l'utilisation de la propre prédiction du modèle à l'étape précédente. Cette technique accélère et stabilise l'entraînement en évitant que le modèle ne dérive sur ses propres erreurs, mais introduit un écart entre les conditions d'entraînement et celles de l'inférence, où le modèle ne dispose jamais de la vérité terrain.</w:t>
      </w:r>
    </w:p>
    <w:p>
      <w:pPr>
        <w:spacing w:after="160"/>
      </w:pPr>
      <w:r>
        <w:t xml:space="preserve">L'entraînement minimise une fonction de perte d'entropie croisée, en ignorant explicitement les positions de padding (ignore_index), et applique un gradient clipping (seuil de norme fixé à 1,0) pour stabiliser la rétropropagation à travers le temps sur l'ensemble de la séquence cible.</w:t>
      </w:r>
    </w:p>
    <w:p>
      <w:pPr>
        <w:pStyle w:val="Heading3"/>
      </w:pPr>
      <w:r>
        <w:t xml:space="preserve">4.7.4 Stratégies de décodage</w:t>
      </w:r>
    </w:p>
    <w:p>
      <w:pPr>
        <w:spacing w:after="160"/>
      </w:pPr>
      <w:r>
        <w:t xml:space="preserve">Deux stratégies de décodage ont été comparées. Le décodage glouton sélectionne, à chaque pas de temps, le token de plus haute probabilité, sans exploration d'alternatives ; il est rapide mais peut s'enfermer dans un choix localement optimal mais globalement sous-optimal, sans possibilité de retour en arrière. Le beam search maintient, à chaque pas de temps, les k séquences partielles les plus probables (ici k = 3), ce qui permet d'explorer plusieurs hypothèses en parallèle avant de se fixer sur la séquence finale, au prix d'un coût de calcul multiplié par k. Les probabilités cumulées sont calculées en log-probabilités, pour la stabilité numérique sur des séquences de longueur non négligeable, et normalisées par la longueur de séquence afin de ne pas pénaliser systématiquement les hypothèses plus longues.</w:t>
      </w:r>
    </w:p>
    <w:p>
      <w:pPr>
        <w:pStyle w:val="Heading2"/>
      </w:pPr>
      <w:r>
        <w:t xml:space="preserve">4.8 Résultats expérimentaux (Seq2Seq)</w:t>
      </w:r>
    </w:p>
    <w:p>
      <w:pPr>
        <w:spacing w:after="160"/>
      </w:pPr>
      <w:r>
        <w:t xml:space="preserve">Le système Seq2Seq a été entraîné sur 6 000 paires de phrases anglais-français (corpus opus_books, filtré à 15 tokens maximum par phrase), avec un encodeur et un décodeur de dimension cachée 256 et dimension d'embedding 128, sur 10 epochs.</w:t>
      </w:r>
    </w:p>
    <w:p>
      <w:pPr>
        <w:pStyle w:val="Heading3"/>
      </w:pPr>
      <w:r>
        <w:t xml:space="preserve">4.8.1 Comparaison des stratégies de décodage — score BLEU</w:t>
      </w:r>
    </w:p>
    <w:p>
      <w:pPr>
        <w:spacing w:after="160"/>
      </w:pPr>
      <w:r>
        <w:t xml:space="preserve">Le score BLEU (Bilingual Evaluation Understudy), qui mesure le chevauchement de n-grammes entre la traduction générée et une référence humaine (avec pénalité de brièveté), a été calculé sur un échantillon de 200 phrases du jeu de test, pour chacune des deux stratégies de décodage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left"/>
            </w:pPr>
            <w:r>
              <w:rPr>
                <w:b/>
                <w:bCs/>
                <w:i w:val="false"/>
                <w:iCs w:val="false"/>
                <w:color w:val="FFFFFF"/>
                <w:sz w:val="20"/>
                <w:szCs w:val="20"/>
              </w:rPr>
              <w:t xml:space="preserve">Stratégie de décodage</w:t>
            </w:r>
          </w:p>
        </w:tc>
        <w:tc>
          <w:tcPr>
            <w:tcW w:type="dxa" w:w="4680"/>
            <w:tcBorders>
              <w:top w:val="single" w:color="D0D0D0" w:sz="4"/>
              <w:left w:val="single" w:color="D0D0D0" w:sz="4"/>
              <w:bottom w:val="single" w:color="D0D0D0" w:sz="4"/>
              <w:right w:val="single" w:color="D0D0D0" w:sz="4"/>
            </w:tcBorders>
            <w:shd w:fill="1E7A3D" w:val="clear"/>
            <w:tcMar>
              <w:top w:type="dxa" w:w="80"/>
              <w:left w:type="dxa" w:w="120"/>
              <w:bottom w:type="dxa" w:w="80"/>
              <w:right w:type="dxa" w:w="120"/>
            </w:tcMar>
            <w:vAlign w:val="center"/>
          </w:tcPr>
          <w:p>
            <w:pPr>
              <w:jc w:val="center"/>
            </w:pPr>
            <w:r>
              <w:rPr>
                <w:b/>
                <w:bCs/>
                <w:i w:val="false"/>
                <w:iCs w:val="false"/>
                <w:color w:val="FFFFFF"/>
                <w:sz w:val="20"/>
                <w:szCs w:val="20"/>
              </w:rPr>
              <w:t xml:space="preserve">Score BLEU</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Décodage glouton</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0,042262</w:t>
            </w:r>
          </w:p>
        </w:tc>
      </w:tr>
      <w:tr>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left"/>
            </w:pPr>
            <w:r>
              <w:rPr>
                <w:b w:val="false"/>
                <w:bCs w:val="false"/>
                <w:i w:val="false"/>
                <w:iCs w:val="false"/>
                <w:sz w:val="20"/>
                <w:szCs w:val="20"/>
              </w:rPr>
              <w:t xml:space="preserve">Beam search (k = 3)</w:t>
            </w:r>
          </w:p>
        </w:tc>
        <w:tc>
          <w:tcPr>
            <w:tcW w:type="dxa" w:w="4680"/>
            <w:tcBorders>
              <w:top w:val="single" w:color="D0D0D0" w:sz="4"/>
              <w:left w:val="single" w:color="D0D0D0" w:sz="4"/>
              <w:bottom w:val="single" w:color="D0D0D0" w:sz="4"/>
              <w:right w:val="single" w:color="D0D0D0" w:sz="4"/>
            </w:tcBorders>
            <w:tcMar>
              <w:top w:type="dxa" w:w="80"/>
              <w:left w:type="dxa" w:w="120"/>
              <w:bottom w:type="dxa" w:w="80"/>
              <w:right w:type="dxa" w:w="120"/>
            </w:tcMar>
            <w:vAlign w:val="center"/>
          </w:tcPr>
          <w:p>
            <w:pPr>
              <w:jc w:val="center"/>
            </w:pPr>
            <w:r>
              <w:rPr>
                <w:b w:val="false"/>
                <w:bCs w:val="false"/>
                <w:i w:val="false"/>
                <w:iCs w:val="false"/>
                <w:sz w:val="20"/>
                <w:szCs w:val="20"/>
              </w:rPr>
              <w:t xml:space="preserve">0,044692</w:t>
            </w:r>
          </w:p>
        </w:tc>
      </w:tr>
    </w:tbl>
    <w:p>
      <w:pPr>
        <w:spacing w:after="160"/>
      </w:pPr>
      <w:r>
        <w:t xml:space="preserve">Le beam search produit un score BLEU légèrement supérieur au décodage glouton (+ 0,0024, soit une amélioration relative d'environ 5,7 %), conformément à l'attente théorique selon laquelle l'exploration de plusieurs hypothèses permet de retrouver une séquence globalement plus probable qu'un choix glouton pas-à-pas. L'écart reste néanmoins modeste, ce qui est cohérent avec les limites méthodologiques discutées en section 4.9.</w:t>
      </w:r>
    </w:p>
    <w:p>
      <w:pPr>
        <w:pStyle w:val="Heading2"/>
      </w:pPr>
      <w:r>
        <w:t xml:space="preserve">4.9 Analyse critique (Seq2Seq)</w:t>
      </w:r>
    </w:p>
    <w:p>
      <w:pPr>
        <w:spacing w:after="160"/>
      </w:pPr>
      <w:r>
        <w:t xml:space="preserve">Le score BLEU absolu obtenu (de l'ordre de 0,04) reste modeste au regard des standards de la traduction automatique neuronale moderne, ce qui s'explique par la conjonction de plusieurs facteurs méthodologiques assumés dans ce projet pédagogique. Premièrement, le corpus d'entraînement est réduit et volontairement simplifié (6 000 paires, phrases limitées à 15 tokens), ce qui limite mécaniquement la diversité linguistique apprise par le modèle. Deuxièmement, la tokenisation employée est élémentaire (segmentation par espaces, sans recours à une segmentation en sous-mots de type Byte Pair Encoding), ce qui accroît la taille effective du vocabulaire hors-couverture et pénalise la gestion des mots rares ou des formes fléchies. Troisièmement, et il s'agit là de la limite la plus structurelle, le modèle ne comporte aucun mécanisme d'attention : le vecteur de contexte unique produit par l'encodeur doit résumer la totalité de la phrase source dans une représentation de taille fixe, ce qui constitue un goulot d'étranglement (bottleneck) d'autant plus pénalisant que la phrase source est longue.</w:t>
      </w:r>
    </w:p>
    <w:p>
      <w:pPr>
        <w:spacing w:after="160"/>
      </w:pPr>
      <w:r>
        <w:t xml:space="preserve">L'écart modeste, bien que positif, entre le beam search et le décodage glouton (0,044692 contre 0,042262) confirme une observation également documentée dans la littérature : sur des corpus réduits et des phrases relativement courtes (donc peu ambiguës au moment du choix du prochain token), l'exploration supplémentaire offerte par le beam search apporte un gain réel mais limité, l'essentiel des décisions de traduction restant déjà largement déterminé par le vecteur de contexte initial fourni par l'encodeur plutôt que par la stratégie d'exploration appliquée lors du décodage.</w:t>
      </w:r>
    </w:p>
    <w:p>
      <w:pPr>
        <w:spacing w:after="160"/>
      </w:pPr>
      <w:r>
        <w:t xml:space="preserve">Ce résultat suggère que, pour ce système, l'amélioration la plus prometteuse ne résiderait pas principalement dans le raffinement de la stratégie de décodage, mais plutôt en amont, dans l'architecture elle-même — en particulier par l'ajout d'un mécanisme d'attention permettant au décodeur de consulter dynamiquement l'ensemble des états cachés de l'encodeur plutôt qu'un unique vecteur de contexte figé.</w:t>
      </w:r>
    </w:p>
    <w:p>
      <w:pPr>
        <w:pStyle w:val="Heading2"/>
      </w:pPr>
      <w:r>
        <w:t xml:space="preserve">4.10 Question de synthèse complémentaire — Seq2Seq</w:t>
      </w:r>
    </w:p>
    <w:p>
      <w:pPr>
        <w:spacing w:after="160"/>
      </w:pPr>
      <w:r>
        <w:t xml:space="preserve">L'articulation entre RNN simple, LSTM/GRU et schéma encodeur-décodeur, déjà discutée sur le plan théorique en section 4.6, trouve ici une illustration empirique directe. Le système Seq2Seq construit dans ce projet repose sur des cellules GRU, choisies pour leur compromis favorable entre expressivité et coût de calcul, déjà mis en évidence sur la tâche de classification de sentiment (section 4.4). Les résultats de traduction obtenus, bien que modestes en valeur absolue, confirment la viabilité du principe encodeur-décodeur pour une tâche de génération de séquence : le système produit des traductions cohérentes sur un sous-ensemble notable du corpus de test, et la supériorité, même modeste, du beam search sur le décodage glouton valide empiriquement l'intérêt d'une stratégie de décodage exploratoire pour ce type de tâche, conformément à l'analyse théorique de la section 4.7.4.</w:t>
      </w:r>
    </w:p>
    <w:p>
      <w:r>
        <w:br w:type="page"/>
      </w:r>
    </w:p>
    <w:p>
      <w:pPr>
        <w:pStyle w:val="Heading1"/>
      </w:pPr>
      <w:r>
        <w:t xml:space="preserve">5. Discussion transversale finale</w:t>
      </w:r>
    </w:p>
    <w:p>
      <w:pPr>
        <w:spacing w:after="160"/>
      </w:pPr>
      <w:r>
        <w:rPr>
          <w:i/>
          <w:iCs/>
          <w:color w:val="595959"/>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pPr>
      <w:r>
        <w:t xml:space="preserve">Les trois familles de modèles étudiées dans ce rapport — MLP, CNN et architectures récurrentes — partagent un même paradigme d'apprentissage : l'optimisation, par descente de gradient et rétropropagation, des paramètres d'une fonction composée de couches non linéaires, en vue de minimiser une fonction de perte sur des données d'entraînement. Ce qui distingue fondamentalement ces architectures n'est donc pas le principe d'apprentissage lui-même, mais l'ensemble des hypothèses structurelles — ou biais inductifs — que chacune impose a priori sur la nature des données traitées.</w:t>
      </w:r>
    </w:p>
    <w:p>
      <w:pPr>
        <w:spacing w:after="160"/>
      </w:pPr>
      <w:r>
        <w:t xml:space="preserve">Le MLP n'impose aucun biais structurel : chaque neurone d'une couche cachée a accès à l'intégralité du vecteur d'entrée, sans privilégier aucune relation particulière entre les variables. Ce choix est adapté aux données tabulaires, pour lesquelles l'ordre des colonnes est arbitraire et ne porte aucune information géométrique ou temporelle — contrairement à une image ou à une phrase. C'est précisément cette absence de structure imposée qui constitue à la fois la force du MLP (généralité, absence d'hypothèse erronée) et sa limite (incapacité à exploiter une structure, même lorsque celle-ci existe implicitement entre certaines variables corrélées).</w:t>
      </w:r>
    </w:p>
    <w:p>
      <w:pPr>
        <w:spacing w:after="160"/>
      </w:pPr>
      <w:r>
        <w:t xml:space="preserve">Le CNN impose au contraire un biais structurel fort, justifié par la géométrie spatiale des images : la localité restreint la connectivité à un voisinage, le partage des poids exploite l'invariance par translation des motifs visuels, et l'empilement de couches construit une hiérarchie de représentations dont le niveau d'abstraction croît avec la profondeur. Ce biais n'est pertinent que parce que les images possèdent effectivement cette propriété de corrélation locale entre pixels voisins ; il serait, à l'inverse, inadapté et contre-productif sur des données tabulaires dépourvues d'une telle structure spatiale.</w:t>
      </w:r>
    </w:p>
    <w:p>
      <w:pPr>
        <w:spacing w:after="160"/>
      </w:pPr>
      <w:r>
        <w:t xml:space="preserve">Les architectures récurrentes (RNN, LSTM, GRU) imposent un troisième type de biais structurel, orienté non plus vers l'espace mais vers le temps : l'hypothèse que l'ordre des éléments d'une séquence porte une information déterminante, et que l'état nécessaire pour prédire un élément futur peut être résumé, de manière compacte et mise à jour séquentiellement, dans un état caché. Le passage du RNN simple vers les architectures à portes (LSTM, GRU) répond à une limite pratique de cette hypothèse — la difficulté à maintenir une mémoire fiable sur de longues distances temporelles — sans remettre en cause le biais structurel lui-même. Le schéma encodeur-décodeur, enfin, répond à un besoin supplémentaire propre aux tâches de génération : produire une séquence de sortie dont la longueur et le contenu ne sont pas connus a priori, ce qu'un encodeur de séquence à sortie unique ne permet pas nativement.</w:t>
      </w:r>
    </w:p>
    <w:p>
      <w:pPr>
        <w:spacing w:after="160"/>
      </w:pPr>
      <w:r>
        <w:t xml:space="preserve">Cette mise en perspective éclaire un principe général du deep learning, illustré empiriquement à plusieurs reprises dans ce rapport : la performance d'une architecture ne dépend pas uniquement de sa capacité de représentation brute (nombre de paramètres, profondeur), mais avant tout de l'adéquation entre les biais structurels qu'elle impose et la structure réelle, géométrique ou temporelle, des données auxquelles elle est appliquée. Un même paradigme d'apprentissage supervisé doit donc nécessairement être décliné différemment selon la nature des données, non par convention arbitraire, mais parce que l'absence de biais adapté — ou, à l'inverse, l'imposition d'un biais inadéquat — se traduit directement par une perte d'efficacité statistique et computationnelle, comme l'illustre la comparaison directe MLP/CNN sur données image discutée en Partie II.</w:t>
      </w:r>
    </w:p>
    <w:p>
      <w:r>
        <w:br w:type="page"/>
      </w:r>
    </w:p>
    <w:p>
      <w:pPr>
        <w:pStyle w:val="Heading1"/>
      </w:pPr>
      <w:r>
        <w:t xml:space="preserve">6. Conclusion générale</w:t>
      </w:r>
    </w:p>
    <w:p>
      <w:pPr>
        <w:spacing w:after="160"/>
      </w:pPr>
      <w:r>
        <w:t xml:space="preserve">Ce projet a permis de mettre en œuvre, de comparer et d'analyser de manière critique trois familles d'architectures de deep learning, chacune appliquée à un type de données pour lequel elle est structurellement adaptée : le perceptron multicouche pour les données tabulaires du dataset Breast Cancer Wisconsin, le réseau de neurones convolutionnel pour les images du dataset Fashion-MNIST, et les architectures récurrentes (RNN, LSTM, GRU) complétées d'un système encodeur-décodeur pour, respectivement, la classification de sentiment sur le corpus IMDb et la traduction automatique sur un corpus parallèle anglais-français.</w:t>
      </w:r>
    </w:p>
    <w:p>
      <w:pPr>
        <w:spacing w:after="160"/>
      </w:pPr>
      <w:r>
        <w:t xml:space="preserve">Au-delà de l'implémentation technique sous PyTorch, ce travail a permis d'illustrer empiriquement, à chaque étape de la démarche méthodologique suivie (exploration des données, conception de l'architecture, implémentation, entraînement, évaluation critique), plusieurs principes théoriques fondamentaux du module : l'importance de l'initialisation des poids et le problème de symétrie d'une initialisation constante ; la nécessité d'exploiter la structure spatiale des images par la localité et le partage des poids d'un CNN ; la sensibilité du RNN simple au phénomène d'exploding gradient sur des séquences non triviales, et le rôle stabilisateur du gradient clipping ; enfin, le compromis entre décodage glouton et beam search, ainsi que la limite du goulot d'étranglement inhérente à un schéma encodeur-décodeur sans mécanisme d'attention.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D" w:sz="4"/>
              <w:left w:val="single" w:color="1E7A3D" w:sz="24"/>
              <w:bottom w:val="single" w:color="1E7A3D" w:sz="4"/>
              <w:right w:val="single" w:color="1E7A3D" w:sz="4"/>
            </w:tcBorders>
            <w:shd w:fill="EAF6ED" w:val="clear"/>
            <w:tcMar>
              <w:top w:type="dxa" w:w="140"/>
              <w:left w:type="dxa" w:w="200"/>
              <w:bottom w:type="dxa" w:w="140"/>
              <w:right w:type="dxa" w:w="200"/>
            </w:tcMar>
          </w:tcPr>
          <w:p>
            <w:pPr>
              <w:spacing w:after="80"/>
            </w:pPr>
            <w:r>
              <w:rPr>
                <w:b/>
                <w:bCs/>
                <w:color w:val="1E7A3D"/>
                <w:sz w:val="20"/>
                <w:szCs w:val="20"/>
              </w:rPr>
              <w:t xml:space="preserve">État d'avancement du rapport</w:t>
            </w:r>
          </w:p>
          <w:p>
            <w:r>
              <w:rPr>
                <w:color w:val="1A1A1A"/>
                <w:sz w:val="20"/>
                <w:szCs w:val="20"/>
              </w:rPr>
              <w:t xml:space="preserve">Ce rapport intègre, à la date de rédaction, l'intégralité des résultats expérimentaux du système Seq2Seq (Partie III, section 4.7-4.10) et les résultats partiels du RNN simple sur IMDb (section 4.4.1). Les résultats expérimentaux des Parties I (MLP) et II (CNN) sont intégrés avec les figures disponibles ; la comparaison complète RNN/LSTM/GRU reste à compléter après exécution complète des scripts correspondants. Les sections concernées sont clairement signalées dans le corps du rapport et doivent être complétées avant la remise finale.</w:t>
            </w:r>
          </w:p>
        </w:tc>
      </w:tr>
    </w:tbl>
    <w:p>
      <w:pPr>
        <w:spacing w:after="160"/>
      </w:pPr>
      <w:r>
        <w:t xml:space="preserve">Les principales limites méthodologiques de cette étude tiennent au sous-échantillonnage appliqué sur les corpus IMDb et de traduction, motivé par les contraintes de temps de calcul de l'environnement utilisé, ainsi qu'à l'absence de mécanisme d'attention dans le système Seq2Seq, qui constitue la principale piste d'amélioration identifiée. Une extension naturelle de ce travail consisterait à intégrer un mécanisme d'attention (Bahdanau ou Luong) au système de traduction, et à étendre la comparaison architecturale à des modèles de type Transformer, dont les mécanismes d'auto-attention dépassent les limites de mémoire à long terme propres aux architectures récurrentes étudiées ici.</w:t>
      </w:r>
    </w:p>
    <w:p>
      <w:r>
        <w:br w:type="page"/>
      </w:r>
    </w:p>
    <w:p>
      <w:pPr>
        <w:pStyle w:val="Heading1"/>
      </w:pPr>
      <w:r>
        <w:t xml:space="preserve">7. Bibliographie</w:t>
      </w:r>
    </w:p>
    <w:p>
      <w:pPr>
        <w:spacing w:after="160"/>
      </w:pPr>
      <w:r>
        <w:t xml:space="preserve">Goodfellow, I., Bengio, Y., &amp; Courville, A. (2016). Deep Learning. MIT Press.</w:t>
      </w:r>
    </w:p>
    <w:p>
      <w:pPr>
        <w:spacing w:after="160"/>
      </w:pPr>
      <w:r>
        <w:t xml:space="preserve">Paszke, A. et al. (2019). PyTorch: An Imperative Style, High-Performance Deep Learning Library. Advances in Neural Information Processing Systems (NeurIPS).</w:t>
      </w:r>
    </w:p>
    <w:p>
      <w:pPr>
        <w:spacing w:after="160"/>
      </w:pPr>
      <w:r>
        <w:t xml:space="preserve">LeCun, Y., Bottou, L., Bengio, Y., &amp; Haffner, P. (1998). Gradient-based learning applied to document recognition. Proceedings of the IEEE, 86(11), 2278-2324.</w:t>
      </w:r>
    </w:p>
    <w:p>
      <w:pPr>
        <w:spacing w:after="160"/>
      </w:pPr>
      <w:r>
        <w:t xml:space="preserve">Hochreiter, S., &amp; Schmidhuber, J. (1997). Long Short-Term Memory. Neural Computation, 9(8), 1735-1780.</w:t>
      </w:r>
    </w:p>
    <w:p>
      <w:pPr>
        <w:spacing w:after="160"/>
      </w:pPr>
      <w:r>
        <w:t xml:space="preserve">Cho, K. et al. (2014). Learning Phrase Representations using RNN Encoder-Decoder for Statistical Machine Translation. Proceedings of EMNLP.</w:t>
      </w:r>
    </w:p>
    <w:p>
      <w:pPr>
        <w:spacing w:after="160"/>
      </w:pPr>
      <w:r>
        <w:t xml:space="preserve">Sutskever, I., Vinyals, O., &amp; Le, Q. V. (2014). Sequence to Sequence Learning with Neural Networks. Advances in Neural Information Processing Systems (NeurIPS).</w:t>
      </w:r>
    </w:p>
    <w:p>
      <w:pPr>
        <w:spacing w:after="160"/>
      </w:pPr>
      <w:r>
        <w:t xml:space="preserve">Glorot, X., &amp; Bengio, Y. (2010). Understanding the difficulty of training deep feedforward neural networks. Proceedings of AISTATS.</w:t>
      </w:r>
    </w:p>
    <w:p>
      <w:pPr>
        <w:spacing w:after="160"/>
      </w:pPr>
      <w:r>
        <w:t xml:space="preserve">Papineni, K., Roukos, S., Ward, T., &amp; Zhu, W. J. (2002). BLEU: a Method for Automatic Evaluation of Machine Translation. Proceedings of ACL.</w:t>
      </w:r>
    </w:p>
    <w:p>
      <w:pPr>
        <w:spacing w:after="160"/>
      </w:pPr>
      <w:r>
        <w:t xml:space="preserve">Tiedemann, J. (2012). Parallel Data, Tools and Interfaces in OPUS. Proceedings of LREC.</w:t>
      </w:r>
    </w:p>
    <w:p>
      <w:pPr>
        <w:spacing w:after="160"/>
      </w:pPr>
      <w:r>
        <w:t xml:space="preserve">Maas, A. L. et al. (2011). Learning Word Vectors for Sentiment Analysis. Proceedings of ACL (corpus IMDb).</w:t>
      </w:r>
    </w:p>
    <w:p>
      <w:pPr>
        <w:spacing w:after="160"/>
      </w:pPr>
      <w:r>
        <w:t xml:space="preserve">Wolberg, W. H., Street, W. N., &amp; Mangasarian, O. L. Breast Cancer Wisconsin (Diagnostic) Data Set. UCI Machine Learning Repository.</w:t>
      </w:r>
    </w:p>
    <w:p>
      <w:pPr>
        <w:spacing w:after="160"/>
      </w:pPr>
      <w:r>
        <w:t xml:space="preserve">Xiao, H., Rasul, K., &amp; Vollgraf, R. (2017). Fashion-MNIST: a Novel Image Dataset for Benchmarking Machine Learning Algorithms. arXiv:1708.07747.</w:t>
      </w:r>
    </w:p>
    <w:p>
      <w:pPr>
        <w:spacing w:after="160"/>
      </w:pPr>
      <w:r>
        <w:t xml:space="preserve">Documentation officielle PyTorch : https://pytorch.org/docs/</w:t>
      </w:r>
    </w:p>
    <w:p>
      <w:pPr>
        <w:spacing w:after="160"/>
      </w:pPr>
      <w:r>
        <w:t xml:space="preserve">Documentation officielle Hugging Face Datasets : https://huggingface.co/docs/datasets/</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638"/>
      </w:tabs>
    </w:pPr>
    <w:r>
      <w:rPr>
        <w:color w:val="595959"/>
        <w:sz w:val="16"/>
        <w:szCs w:val="16"/>
      </w:rPr>
      <w:t xml:space="preserve">EMSI Casablanca — Projet Deep Learning 2025-2026</w:t>
    </w:r>
    <w:r>
      <w:rPr>
        <w:color w:val="595959"/>
        <w:sz w:val="16"/>
        <w:szCs w:val="16"/>
      </w:rPr>
      <w:t xml:space="preserve">	Module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7A3D" w:sz="6" w:space="4"/>
      </w:pBdr>
      <w:spacing w:after="200" w:before="420"/>
      <w:outlineLvl w:val="0"/>
    </w:pPr>
    <w:rPr>
      <w:rFonts w:ascii="Calibri" w:cs="Calibri" w:eastAsia="Calibri" w:hAnsi="Calibri"/>
      <w:b/>
      <w:bCs/>
      <w:color w:val="1E7A3D"/>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1E7A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d20a1c64cae1886e30c34ea7989ccec8dcff067.png"/><Relationship Id="rId14" Type="http://schemas.openxmlformats.org/officeDocument/2006/relationships/image" Target="media/86c82a5d3584146e6d0622e042c7155c170e66a9.png"/><Relationship Id="rId15" Type="http://schemas.openxmlformats.org/officeDocument/2006/relationships/image" Target="media/1933327405418b37eee6310986bb14ebd6b3a766.png"/><Relationship Id="rId16" Type="http://schemas.openxmlformats.org/officeDocument/2006/relationships/image" Target="media/b74d7705532a6102db0b695a7169840ea7fc404c.png"/><Relationship Id="rId17" Type="http://schemas.openxmlformats.org/officeDocument/2006/relationships/image" Target="media/7d064bb10c8c08bb8601927ba46e420689e6ff35.png"/><Relationship Id="rId18" Type="http://schemas.openxmlformats.org/officeDocument/2006/relationships/image" Target="media/207fbf27af71fc43e1dd34f82a835bd9caeeaf6f.png"/><Relationship Id="rId19" Type="http://schemas.openxmlformats.org/officeDocument/2006/relationships/image" Target="media/be955376d765e239ee94871e97188eaaf67aa4b2.png"/><Relationship Id="rId20" Type="http://schemas.openxmlformats.org/officeDocument/2006/relationships/image" Target="media/bb4dcddc1d83417b1d3fd77f044b5cb67f1315f2.png"/><Relationship Id="rId21" Type="http://schemas.openxmlformats.org/officeDocument/2006/relationships/image" Target="media/b1bb5bafa8d1d2e9ef14c8955a44931fae003bf6.png"/><Relationship Id="rId22" Type="http://schemas.openxmlformats.org/officeDocument/2006/relationships/image" Target="media/d86ec8d3e36f05b3f82a7d02730c30ae0315a395.png"/><Relationship Id="rId23" Type="http://schemas.openxmlformats.org/officeDocument/2006/relationships/image" Target="media/e2fbd6cdbd9b0ed3fbaecdf383ec5a9b917877b5.png"/><Relationship Id="rId24" Type="http://schemas.openxmlformats.org/officeDocument/2006/relationships/image" Target="media/658bf18742810d4958690dc06d6a72ac142d1273.png"/><Relationship Id="rId25" Type="http://schemas.openxmlformats.org/officeDocument/2006/relationships/fontTable" Target="fontTable.xml"/><Relationship Id="rId26" Type="http://schemas.openxmlformats.org/officeDocument/2006/relationships/image" Target="media/emsi_logo_officie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2026-06-27T18:25:15.092Z</dcterms:created>
  <dcterms:modified xsi:type="dcterms:W3CDTF">2026-06-27T18:25:15.092Z</dcterms:modified>
</cp:coreProperties>
</file>

<file path=docProps/custom.xml><?xml version="1.0" encoding="utf-8"?>
<Properties xmlns="http://schemas.openxmlformats.org/officeDocument/2006/custom-properties" xmlns:vt="http://schemas.openxmlformats.org/officeDocument/2006/docPropsVTypes"/>
</file>