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color w:val="1F4E5F"/>
          <w:sz w:val="24"/>
          <w:szCs w:val="24"/>
        </w:rPr>
        <w:t xml:space="preserve">ÉCOLE MAROCAINE DES SCIENCES DE L'INGÉNIEUR</w:t>
      </w:r>
    </w:p>
    <w:p>
      <w:pPr>
        <w:spacing w:after="600"/>
        <w:jc w:val="center"/>
      </w:pPr>
      <w:r>
        <w:rPr>
          <w:color w:val="595959"/>
          <w:sz w:val="22"/>
          <w:szCs w:val="22"/>
        </w:rPr>
        <w:t xml:space="preserve">EMSI Casablanca — Filière Informatique</w:t>
      </w:r>
    </w:p>
    <w:p>
      <w:pPr>
        <w:spacing w:after="200" w:before="800"/>
        <w:jc w:val="center"/>
      </w:pPr>
      <w:r>
        <w:rPr>
          <w:b/>
          <w:bCs/>
          <w:color w:val="1F4E5F"/>
          <w:sz w:val="40"/>
          <w:szCs w:val="40"/>
        </w:rPr>
        <w:t xml:space="preserve">RAPPORT DE PROJET DE FIN DE MODULE</w:t>
      </w:r>
    </w:p>
    <w:p>
      <w:pPr>
        <w:spacing w:after="100"/>
        <w:jc w:val="center"/>
      </w:pPr>
      <w:r>
        <w:rPr>
          <w:b/>
          <w:bCs/>
          <w:color w:val="404040"/>
          <w:sz w:val="30"/>
          <w:szCs w:val="30"/>
        </w:rPr>
        <w:t xml:space="preserve">Module : Deep Learning</w:t>
      </w:r>
    </w:p>
    <w:p>
      <w:pPr>
        <w:spacing w:after="600"/>
        <w:jc w:val="center"/>
      </w:pPr>
      <w:r>
        <w:rPr>
          <w:i/>
          <w:iCs/>
          <w:color w:val="595959"/>
          <w:sz w:val="24"/>
          <w:szCs w:val="24"/>
        </w:rPr>
        <w:t xml:space="preserve">Conception, implémentation, comparaison et analyse critique de modèles de deep learning pour données tabulaires, images et séquences</w:t>
      </w:r>
    </w:p>
    <w:p>
      <w:pPr>
        <w:spacing w:after="100" w:before="1000"/>
        <w:jc w:val="center"/>
      </w:pPr>
      <w:r>
        <w:rPr>
          <w:b/>
          <w:bCs/>
          <w:sz w:val="24"/>
          <w:szCs w:val="24"/>
        </w:rPr>
        <w:t xml:space="preserve">Réalisé par : </w:t>
      </w:r>
      <w:r>
        <w:rPr>
          <w:sz w:val="24"/>
          <w:szCs w:val="24"/>
        </w:rPr>
        <w:t xml:space="preserve">Houda Baih</w:t>
      </w:r>
    </w:p>
    <w:p>
      <w:pPr>
        <w:spacing w:after="600"/>
        <w:jc w:val="center"/>
      </w:pPr>
      <w:r>
        <w:rPr>
          <w:b/>
          <w:bCs/>
          <w:sz w:val="24"/>
          <w:szCs w:val="24"/>
        </w:rPr>
        <w:t xml:space="preserve">Encadré par : </w:t>
      </w:r>
      <w:r>
        <w:rPr>
          <w:sz w:val="24"/>
          <w:szCs w:val="24"/>
        </w:rPr>
        <w:t xml:space="preserve">Battal Mousaab</w:t>
      </w:r>
    </w:p>
    <w:p>
      <w:pPr>
        <w:spacing w:before="1200"/>
        <w:jc w:val="center"/>
      </w:pPr>
      <w:r>
        <w:rPr>
          <w:color w:val="595959"/>
          <w:sz w:val="24"/>
          <w:szCs w:val="24"/>
        </w:rPr>
        <w:t xml:space="preserve">Année universitaire 2025–2026</w:t>
      </w:r>
    </w:p>
    <w:p>
      <w:r>
        <w:br w:type="page"/>
      </w:r>
    </w:p>
    <w:p>
      <w:pPr>
        <w:pStyle w:val="Heading1"/>
      </w:pPr>
      <w:r>
        <w:t xml:space="preserve">Remerciements</w:t>
      </w:r>
    </w:p>
    <w:p>
      <w:pPr>
        <w:spacing w:after="160" w:line="300"/>
        <w:jc w:val="both"/>
      </w:pPr>
      <w:r>
        <w:rPr>
          <w:b w:val="false"/>
          <w:bCs w:val="false"/>
          <w:i w:val="false"/>
          <w:iCs w:val="false"/>
          <w:color w:val="262626"/>
          <w:sz w:val="22"/>
          <w:szCs w:val="22"/>
        </w:rPr>
        <w:t xml:space="preserve">Je tiens à exprimer ma sincère reconnaissance à l'ensemble du corps enseignant du module Deep Learning à l'EMSI Casablanca pour la qualité de l'encadrement pédagogique apporté tout au long de ce projet. Mes remerciements s'adressent en particulier à mon encadrant(e) pour ses conseils méthodologiques et sa disponibilité.</w:t>
      </w:r>
    </w:p>
    <w:p>
      <w:pPr>
        <w:spacing w:after="160" w:line="300"/>
        <w:jc w:val="both"/>
      </w:pPr>
      <w:r>
        <w:rPr>
          <w:b w:val="false"/>
          <w:bCs w:val="false"/>
          <w:i w:val="false"/>
          <w:iCs w:val="false"/>
          <w:color w:val="262626"/>
          <w:sz w:val="22"/>
          <w:szCs w:val="22"/>
        </w:rPr>
        <w:t xml:space="preserve">Je remercie également l'ensemble des contributeurs aux bibliothèques open-source utilisées dans ce projet (PyTorch, scikit-learn, Hugging Face Datasets), dont la documentation et les outils ont rendu possible la réalisation de ce travail.</w:t>
      </w:r>
    </w:p>
    <w:p>
      <w:r>
        <w:br w:type="page"/>
      </w:r>
    </w:p>
    <w:p>
      <w:pPr>
        <w:pStyle w:val="Heading1"/>
      </w:pPr>
      <w:r>
        <w:t xml:space="preserve">Résumé</w:t>
      </w:r>
    </w:p>
    <w:p>
      <w:pPr>
        <w:spacing w:after="160" w:line="300"/>
        <w:jc w:val="both"/>
      </w:pPr>
      <w:r>
        <w:rPr>
          <w:b w:val="false"/>
          <w:bCs w:val="false"/>
          <w:i w:val="false"/>
          <w:iCs w:val="false"/>
          <w:color w:val="262626"/>
          <w:sz w:val="22"/>
          <w:szCs w:val="22"/>
        </w:rPr>
        <w:t xml:space="preserve">Ce rapport présente la conception, l'implémentation et l'analyse critique de trois familles d'architectures de deep learning, appliquées chacune à un type de données distinct, conformément au cahier des charges du module Deep Learning de l'EMSI Casablanca (année universitaire 2025-2026). La première partie porte sur la classification de données tabulaires à l'aide d'un perceptron multicouche (MLP), appliqué au dataset Breast Cancer Wisconsin, et couvre les fondements de l'ingénierie PyTorch (nn.Module, stratégies d'initialisation, sauvegarde/rechargement). La deuxième partie traite de la classification d'images par réseau de neurones convolutionnel (CNN) sur le dataset Fashion-MNIST, avec une implémentation manuelle vérifiée des opérations de corrélation croisée et de pooling. La troisième partie aborde la modélisation de séquences : une tâche de classification de sentiment sur le corpus IMDb à l'aide de RNN, LSTM et GRU, complétée par un système de traduction automatique encodeur-décodeur (Seq2Seq) entraîné sur un corpus parallèle anglais-français.</w:t>
      </w:r>
    </w:p>
    <w:p>
      <w:pPr>
        <w:spacing w:after="160" w:line="300"/>
        <w:jc w:val="both"/>
      </w:pPr>
      <w:r>
        <w:rPr>
          <w:b w:val="false"/>
          <w:bCs w:val="false"/>
          <w:i w:val="false"/>
          <w:iCs w:val="false"/>
          <w:color w:val="262626"/>
          <w:sz w:val="22"/>
          <w:szCs w:val="22"/>
        </w:rPr>
        <w:t xml:space="preserve">L'ensemble des expériences a été conduit sous Python avec PyTorch, sur l'environnement Google Colab. Chaque partie est structurée en quatre temps : présentation théorique, préparation des données, implémentation et entraînement, puis analyse critique des résultats obtenus. Le rapport se conclut par une discussion transversale mettant en lumière la manière dont chaque architecture encode des hypothèses structurelles différentes — absence de structure a priori pour le MLP, localité spatiale pour le CNN, dépendance temporelle pour les modèles récurrents — adaptées à la géométrie propre de chaque type de données.</w:t>
      </w:r>
    </w:p>
    <w:p>
      <w:r>
        <w:br w:type="page"/>
      </w:r>
    </w:p>
    <w:p>
      <w:pPr>
        <w:pStyle w:val="Heading1"/>
      </w:pPr>
      <w:r>
        <w:t xml:space="preserve">Table des matières</w:t>
      </w:r>
    </w:p>
    <w:p>
      <w:pPr>
        <w:tabs>
          <w:tab w:val="right" w:pos="9026" w:leader="dot"/>
        </w:tabs>
        <w:spacing w:after="120"/>
        <w:ind w:left="0"/>
      </w:pPr>
      <w:r>
        <w:rPr>
          <w:b/>
          <w:bCs/>
          <w:color w:val="1F4E5F"/>
          <w:sz w:val="23"/>
          <w:szCs w:val="23"/>
        </w:rPr>
        <w:t xml:space="preserve">1. Introduction générale</w:t>
      </w:r>
      <w:r>
        <w:rPr>
          <w:sz w:val="23"/>
          <w:szCs w:val="23"/>
        </w:rPr>
        <w:t xml:space="preserve">	5</w:t>
      </w:r>
    </w:p>
    <w:p>
      <w:pPr>
        <w:tabs>
          <w:tab w:val="right" w:pos="9026" w:leader="dot"/>
        </w:tabs>
        <w:spacing w:after="120"/>
        <w:ind w:left="0"/>
      </w:pPr>
      <w:r>
        <w:rPr>
          <w:b/>
          <w:bCs/>
          <w:color w:val="1F4E5F"/>
          <w:sz w:val="23"/>
          <w:szCs w:val="23"/>
        </w:rPr>
        <w:t xml:space="preserve">2. Partie I — MLP et ingénierie PyTorch</w:t>
      </w:r>
      <w:r>
        <w:rPr>
          <w:sz w:val="23"/>
          <w:szCs w:val="23"/>
        </w:rPr>
        <w:t xml:space="preserve">	6</w:t>
      </w:r>
    </w:p>
    <w:p>
      <w:pPr>
        <w:tabs>
          <w:tab w:val="right" w:pos="9026" w:leader="dot"/>
        </w:tabs>
        <w:spacing w:after="60"/>
        <w:ind w:left="360"/>
      </w:pPr>
      <w:r>
        <w:rPr>
          <w:b w:val="false"/>
          <w:bCs w:val="false"/>
          <w:color w:val="262626"/>
          <w:sz w:val="21"/>
          <w:szCs w:val="21"/>
        </w:rPr>
        <w:t xml:space="preserve">2.1 Présentation théorique</w:t>
      </w:r>
      <w:r>
        <w:rPr>
          <w:sz w:val="21"/>
          <w:szCs w:val="21"/>
        </w:rPr>
        <w:t xml:space="preserve">	6</w:t>
      </w:r>
    </w:p>
    <w:p>
      <w:pPr>
        <w:tabs>
          <w:tab w:val="right" w:pos="9026" w:leader="dot"/>
        </w:tabs>
        <w:spacing w:after="60"/>
        <w:ind w:left="360"/>
      </w:pPr>
      <w:r>
        <w:rPr>
          <w:b w:val="false"/>
          <w:bCs w:val="false"/>
          <w:color w:val="262626"/>
          <w:sz w:val="21"/>
          <w:szCs w:val="21"/>
        </w:rPr>
        <w:t xml:space="preserve">2.2 Dataset : Breast Cancer Wisconsin</w:t>
      </w:r>
      <w:r>
        <w:rPr>
          <w:sz w:val="21"/>
          <w:szCs w:val="21"/>
        </w:rPr>
        <w:t xml:space="preserve">	7</w:t>
      </w:r>
    </w:p>
    <w:p>
      <w:pPr>
        <w:tabs>
          <w:tab w:val="right" w:pos="9026" w:leader="dot"/>
        </w:tabs>
        <w:spacing w:after="60"/>
        <w:ind w:left="360"/>
      </w:pPr>
      <w:r>
        <w:rPr>
          <w:b w:val="false"/>
          <w:bCs w:val="false"/>
          <w:color w:val="262626"/>
          <w:sz w:val="21"/>
          <w:szCs w:val="21"/>
        </w:rPr>
        <w:t xml:space="preserve">2.3 Architectures implémentées</w:t>
      </w:r>
      <w:r>
        <w:rPr>
          <w:sz w:val="21"/>
          <w:szCs w:val="21"/>
        </w:rPr>
        <w:t xml:space="preserve">	7</w:t>
      </w:r>
    </w:p>
    <w:p>
      <w:pPr>
        <w:tabs>
          <w:tab w:val="right" w:pos="9026" w:leader="dot"/>
        </w:tabs>
        <w:spacing w:after="60"/>
        <w:ind w:left="360"/>
      </w:pPr>
      <w:r>
        <w:rPr>
          <w:b w:val="false"/>
          <w:bCs w:val="false"/>
          <w:color w:val="262626"/>
          <w:sz w:val="21"/>
          <w:szCs w:val="21"/>
        </w:rPr>
        <w:t xml:space="preserve">2.4 Inspection des paramètres, sauvegarde et device</w:t>
      </w:r>
      <w:r>
        <w:rPr>
          <w:sz w:val="21"/>
          <w:szCs w:val="21"/>
        </w:rPr>
        <w:t xml:space="preserve">	8</w:t>
      </w:r>
    </w:p>
    <w:p>
      <w:pPr>
        <w:tabs>
          <w:tab w:val="right" w:pos="9026" w:leader="dot"/>
        </w:tabs>
        <w:spacing w:after="60"/>
        <w:ind w:left="360"/>
      </w:pPr>
      <w:r>
        <w:rPr>
          <w:b w:val="false"/>
          <w:bCs w:val="false"/>
          <w:color w:val="262626"/>
          <w:sz w:val="21"/>
          <w:szCs w:val="21"/>
        </w:rPr>
        <w:t xml:space="preserve">2.5 Résultats expérimentaux</w:t>
      </w:r>
      <w:r>
        <w:rPr>
          <w:sz w:val="21"/>
          <w:szCs w:val="21"/>
        </w:rPr>
        <w:t xml:space="preserve">	8</w:t>
      </w:r>
    </w:p>
    <w:p>
      <w:pPr>
        <w:tabs>
          <w:tab w:val="right" w:pos="9026" w:leader="dot"/>
        </w:tabs>
        <w:spacing w:after="60"/>
        <w:ind w:left="360"/>
      </w:pPr>
      <w:r>
        <w:rPr>
          <w:b w:val="false"/>
          <w:bCs w:val="false"/>
          <w:color w:val="262626"/>
          <w:sz w:val="21"/>
          <w:szCs w:val="21"/>
        </w:rPr>
        <w:t xml:space="preserve">2.6 Analyse critique</w:t>
      </w:r>
      <w:r>
        <w:rPr>
          <w:sz w:val="21"/>
          <w:szCs w:val="21"/>
        </w:rPr>
        <w:t xml:space="preserve">	9</w:t>
      </w:r>
    </w:p>
    <w:p>
      <w:pPr>
        <w:tabs>
          <w:tab w:val="right" w:pos="9026" w:leader="dot"/>
        </w:tabs>
        <w:spacing w:after="60"/>
        <w:ind w:left="360"/>
      </w:pPr>
      <w:r>
        <w:rPr>
          <w:b w:val="false"/>
          <w:bCs w:val="false"/>
          <w:color w:val="262626"/>
          <w:sz w:val="21"/>
          <w:szCs w:val="21"/>
        </w:rPr>
        <w:t xml:space="preserve">2.7 Question de synthèse — Partie I</w:t>
      </w:r>
      <w:r>
        <w:rPr>
          <w:sz w:val="21"/>
          <w:szCs w:val="21"/>
        </w:rPr>
        <w:t xml:space="preserve">	10</w:t>
      </w:r>
    </w:p>
    <w:p>
      <w:pPr>
        <w:tabs>
          <w:tab w:val="right" w:pos="9026" w:leader="dot"/>
        </w:tabs>
        <w:spacing w:after="120"/>
        <w:ind w:left="0"/>
      </w:pPr>
      <w:r>
        <w:rPr>
          <w:b/>
          <w:bCs/>
          <w:color w:val="1F4E5F"/>
          <w:sz w:val="23"/>
          <w:szCs w:val="23"/>
        </w:rPr>
        <w:t xml:space="preserve">3. Partie II — CNN et vision par ordinateur</w:t>
      </w:r>
      <w:r>
        <w:rPr>
          <w:sz w:val="23"/>
          <w:szCs w:val="23"/>
        </w:rPr>
        <w:t xml:space="preserve">	12</w:t>
      </w:r>
    </w:p>
    <w:p>
      <w:pPr>
        <w:tabs>
          <w:tab w:val="right" w:pos="9026" w:leader="dot"/>
        </w:tabs>
        <w:spacing w:after="60"/>
        <w:ind w:left="360"/>
      </w:pPr>
      <w:r>
        <w:rPr>
          <w:b w:val="false"/>
          <w:bCs w:val="false"/>
          <w:color w:val="262626"/>
          <w:sz w:val="21"/>
          <w:szCs w:val="21"/>
        </w:rPr>
        <w:t xml:space="preserve">3.1 Présentation théorique</w:t>
      </w:r>
      <w:r>
        <w:rPr>
          <w:sz w:val="21"/>
          <w:szCs w:val="21"/>
        </w:rPr>
        <w:t xml:space="preserve">	12</w:t>
      </w:r>
    </w:p>
    <w:p>
      <w:pPr>
        <w:tabs>
          <w:tab w:val="right" w:pos="9026" w:leader="dot"/>
        </w:tabs>
        <w:spacing w:after="60"/>
        <w:ind w:left="360"/>
      </w:pPr>
      <w:r>
        <w:rPr>
          <w:b w:val="false"/>
          <w:bCs w:val="false"/>
          <w:color w:val="262626"/>
          <w:sz w:val="21"/>
          <w:szCs w:val="21"/>
        </w:rPr>
        <w:t xml:space="preserve">3.2 Implémentation manuelle des opérations fondamentales</w:t>
      </w:r>
      <w:r>
        <w:rPr>
          <w:sz w:val="21"/>
          <w:szCs w:val="21"/>
        </w:rPr>
        <w:t xml:space="preserve">	13</w:t>
      </w:r>
    </w:p>
    <w:p>
      <w:pPr>
        <w:tabs>
          <w:tab w:val="right" w:pos="9026" w:leader="dot"/>
        </w:tabs>
        <w:spacing w:after="60"/>
        <w:ind w:left="360"/>
      </w:pPr>
      <w:r>
        <w:rPr>
          <w:b w:val="false"/>
          <w:bCs w:val="false"/>
          <w:color w:val="262626"/>
          <w:sz w:val="21"/>
          <w:szCs w:val="21"/>
        </w:rPr>
        <w:t xml:space="preserve">3.3 Architecture CNN (variante de LeNet)</w:t>
      </w:r>
      <w:r>
        <w:rPr>
          <w:sz w:val="21"/>
          <w:szCs w:val="21"/>
        </w:rPr>
        <w:t xml:space="preserve">	13</w:t>
      </w:r>
    </w:p>
    <w:p>
      <w:pPr>
        <w:tabs>
          <w:tab w:val="right" w:pos="9026" w:leader="dot"/>
        </w:tabs>
        <w:spacing w:after="60"/>
        <w:ind w:left="360"/>
      </w:pPr>
      <w:r>
        <w:rPr>
          <w:b w:val="false"/>
          <w:bCs w:val="false"/>
          <w:color w:val="262626"/>
          <w:sz w:val="21"/>
          <w:szCs w:val="21"/>
        </w:rPr>
        <w:t xml:space="preserve">3.4 Étude expérimentale et résultats</w:t>
      </w:r>
      <w:r>
        <w:rPr>
          <w:sz w:val="21"/>
          <w:szCs w:val="21"/>
        </w:rPr>
        <w:t xml:space="preserve">	14</w:t>
      </w:r>
    </w:p>
    <w:p>
      <w:pPr>
        <w:tabs>
          <w:tab w:val="right" w:pos="9026" w:leader="dot"/>
        </w:tabs>
        <w:spacing w:after="60"/>
        <w:ind w:left="360"/>
      </w:pPr>
      <w:r>
        <w:rPr>
          <w:b w:val="false"/>
          <w:bCs w:val="false"/>
          <w:color w:val="262626"/>
          <w:sz w:val="21"/>
          <w:szCs w:val="21"/>
        </w:rPr>
        <w:t xml:space="preserve">3.5 Analyse critique</w:t>
      </w:r>
      <w:r>
        <w:rPr>
          <w:sz w:val="21"/>
          <w:szCs w:val="21"/>
        </w:rPr>
        <w:t xml:space="preserve">	15</w:t>
      </w:r>
    </w:p>
    <w:p>
      <w:pPr>
        <w:tabs>
          <w:tab w:val="right" w:pos="9026" w:leader="dot"/>
        </w:tabs>
        <w:spacing w:after="60"/>
        <w:ind w:left="360"/>
      </w:pPr>
      <w:r>
        <w:rPr>
          <w:b w:val="false"/>
          <w:bCs w:val="false"/>
          <w:color w:val="262626"/>
          <w:sz w:val="21"/>
          <w:szCs w:val="21"/>
        </w:rPr>
        <w:t xml:space="preserve">3.6 Question de synthèse — Partie II</w:t>
      </w:r>
      <w:r>
        <w:rPr>
          <w:sz w:val="21"/>
          <w:szCs w:val="21"/>
        </w:rPr>
        <w:t xml:space="preserve">	15</w:t>
      </w:r>
    </w:p>
    <w:p>
      <w:pPr>
        <w:tabs>
          <w:tab w:val="right" w:pos="9026" w:leader="dot"/>
        </w:tabs>
        <w:spacing w:after="120"/>
        <w:ind w:left="0"/>
      </w:pPr>
      <w:r>
        <w:rPr>
          <w:b/>
          <w:bCs/>
          <w:color w:val="1F4E5F"/>
          <w:sz w:val="23"/>
          <w:szCs w:val="23"/>
        </w:rPr>
        <w:t xml:space="preserve">4. Partie III — RNN, LSTM, GRU et Seq2Seq</w:t>
      </w:r>
      <w:r>
        <w:rPr>
          <w:sz w:val="23"/>
          <w:szCs w:val="23"/>
        </w:rPr>
        <w:t xml:space="preserve">	17</w:t>
      </w:r>
    </w:p>
    <w:p>
      <w:pPr>
        <w:tabs>
          <w:tab w:val="right" w:pos="9026" w:leader="dot"/>
        </w:tabs>
        <w:spacing w:after="60"/>
        <w:ind w:left="360"/>
      </w:pPr>
      <w:r>
        <w:rPr>
          <w:b w:val="false"/>
          <w:bCs w:val="false"/>
          <w:color w:val="262626"/>
          <w:sz w:val="21"/>
          <w:szCs w:val="21"/>
        </w:rPr>
        <w:t xml:space="preserve">4.1 Présentation théorique</w:t>
      </w:r>
      <w:r>
        <w:rPr>
          <w:sz w:val="21"/>
          <w:szCs w:val="21"/>
        </w:rPr>
        <w:t xml:space="preserve">	17</w:t>
      </w:r>
    </w:p>
    <w:p>
      <w:pPr>
        <w:tabs>
          <w:tab w:val="right" w:pos="9026" w:leader="dot"/>
        </w:tabs>
        <w:spacing w:after="60"/>
        <w:ind w:left="360"/>
      </w:pPr>
      <w:r>
        <w:rPr>
          <w:b w:val="false"/>
          <w:bCs w:val="false"/>
          <w:color w:val="262626"/>
          <w:sz w:val="21"/>
          <w:szCs w:val="21"/>
        </w:rPr>
        <w:t xml:space="preserve">4.2 Préparation des données (IMDb)</w:t>
      </w:r>
      <w:r>
        <w:rPr>
          <w:sz w:val="21"/>
          <w:szCs w:val="21"/>
        </w:rPr>
        <w:t xml:space="preserve">	18</w:t>
      </w:r>
    </w:p>
    <w:p>
      <w:pPr>
        <w:tabs>
          <w:tab w:val="right" w:pos="9026" w:leader="dot"/>
        </w:tabs>
        <w:spacing w:after="60"/>
        <w:ind w:left="360"/>
      </w:pPr>
      <w:r>
        <w:rPr>
          <w:b w:val="false"/>
          <w:bCs w:val="false"/>
          <w:color w:val="262626"/>
          <w:sz w:val="21"/>
          <w:szCs w:val="21"/>
        </w:rPr>
        <w:t xml:space="preserve">4.3 Architecture et entraînement</w:t>
      </w:r>
      <w:r>
        <w:rPr>
          <w:sz w:val="21"/>
          <w:szCs w:val="21"/>
        </w:rPr>
        <w:t xml:space="preserve">	18</w:t>
      </w:r>
    </w:p>
    <w:p>
      <w:pPr>
        <w:tabs>
          <w:tab w:val="right" w:pos="9026" w:leader="dot"/>
        </w:tabs>
        <w:spacing w:after="60"/>
        <w:ind w:left="360"/>
      </w:pPr>
      <w:r>
        <w:rPr>
          <w:b w:val="false"/>
          <w:bCs w:val="false"/>
          <w:color w:val="262626"/>
          <w:sz w:val="21"/>
          <w:szCs w:val="21"/>
        </w:rPr>
        <w:t xml:space="preserve">4.4 Résultats expérimentaux</w:t>
      </w:r>
      <w:r>
        <w:rPr>
          <w:sz w:val="21"/>
          <w:szCs w:val="21"/>
        </w:rPr>
        <w:t xml:space="preserve">	18</w:t>
      </w:r>
    </w:p>
    <w:p>
      <w:pPr>
        <w:tabs>
          <w:tab w:val="right" w:pos="9026" w:leader="dot"/>
        </w:tabs>
        <w:spacing w:after="60"/>
        <w:ind w:left="360"/>
      </w:pPr>
      <w:r>
        <w:rPr>
          <w:b w:val="false"/>
          <w:bCs w:val="false"/>
          <w:color w:val="262626"/>
          <w:sz w:val="21"/>
          <w:szCs w:val="21"/>
        </w:rPr>
        <w:t xml:space="preserve">4.5 Analyse critique (partielle)</w:t>
      </w:r>
      <w:r>
        <w:rPr>
          <w:sz w:val="21"/>
          <w:szCs w:val="21"/>
        </w:rPr>
        <w:t xml:space="preserve">	19</w:t>
      </w:r>
    </w:p>
    <w:p>
      <w:pPr>
        <w:tabs>
          <w:tab w:val="right" w:pos="9026" w:leader="dot"/>
        </w:tabs>
        <w:spacing w:after="60"/>
        <w:ind w:left="360"/>
      </w:pPr>
      <w:r>
        <w:rPr>
          <w:b w:val="false"/>
          <w:bCs w:val="false"/>
          <w:color w:val="262626"/>
          <w:sz w:val="21"/>
          <w:szCs w:val="21"/>
        </w:rPr>
        <w:t xml:space="preserve">4.6 Question de synthèse — Partie III (RNN/LSTM/GRU)</w:t>
      </w:r>
      <w:r>
        <w:rPr>
          <w:sz w:val="21"/>
          <w:szCs w:val="21"/>
        </w:rPr>
        <w:t xml:space="preserve">	19</w:t>
      </w:r>
    </w:p>
    <w:p>
      <w:pPr>
        <w:tabs>
          <w:tab w:val="right" w:pos="9026" w:leader="dot"/>
        </w:tabs>
        <w:spacing w:after="60"/>
        <w:ind w:left="360"/>
      </w:pPr>
      <w:r>
        <w:rPr>
          <w:b w:val="false"/>
          <w:bCs w:val="false"/>
          <w:color w:val="262626"/>
          <w:sz w:val="21"/>
          <w:szCs w:val="21"/>
        </w:rPr>
        <w:t xml:space="preserve">4.7 Système Seq2Seq encodeur-décodeur</w:t>
      </w:r>
      <w:r>
        <w:rPr>
          <w:sz w:val="21"/>
          <w:szCs w:val="21"/>
        </w:rPr>
        <w:t xml:space="preserve">	21</w:t>
      </w:r>
    </w:p>
    <w:p>
      <w:pPr>
        <w:tabs>
          <w:tab w:val="right" w:pos="9026" w:leader="dot"/>
        </w:tabs>
        <w:spacing w:after="60"/>
        <w:ind w:left="360"/>
      </w:pPr>
      <w:r>
        <w:rPr>
          <w:b w:val="false"/>
          <w:bCs w:val="false"/>
          <w:color w:val="262626"/>
          <w:sz w:val="21"/>
          <w:szCs w:val="21"/>
        </w:rPr>
        <w:t xml:space="preserve">4.8 Résultats expérimentaux (Seq2Seq)</w:t>
      </w:r>
      <w:r>
        <w:rPr>
          <w:sz w:val="21"/>
          <w:szCs w:val="21"/>
        </w:rPr>
        <w:t xml:space="preserve">	22</w:t>
      </w:r>
    </w:p>
    <w:p>
      <w:pPr>
        <w:tabs>
          <w:tab w:val="right" w:pos="9026" w:leader="dot"/>
        </w:tabs>
        <w:spacing w:after="60"/>
        <w:ind w:left="360"/>
      </w:pPr>
      <w:r>
        <w:rPr>
          <w:b w:val="false"/>
          <w:bCs w:val="false"/>
          <w:color w:val="262626"/>
          <w:sz w:val="21"/>
          <w:szCs w:val="21"/>
        </w:rPr>
        <w:t xml:space="preserve">4.9 Analyse critique (Seq2Seq)</w:t>
      </w:r>
      <w:r>
        <w:rPr>
          <w:sz w:val="21"/>
          <w:szCs w:val="21"/>
        </w:rPr>
        <w:t xml:space="preserve">	22</w:t>
      </w:r>
    </w:p>
    <w:p>
      <w:pPr>
        <w:tabs>
          <w:tab w:val="right" w:pos="9026" w:leader="dot"/>
        </w:tabs>
        <w:spacing w:after="60"/>
        <w:ind w:left="360"/>
      </w:pPr>
      <w:r>
        <w:rPr>
          <w:b w:val="false"/>
          <w:bCs w:val="false"/>
          <w:color w:val="262626"/>
          <w:sz w:val="21"/>
          <w:szCs w:val="21"/>
        </w:rPr>
        <w:t xml:space="preserve">4.10 Question de synthèse complémentaire — Seq2Seq</w:t>
      </w:r>
      <w:r>
        <w:rPr>
          <w:sz w:val="21"/>
          <w:szCs w:val="21"/>
        </w:rPr>
        <w:t xml:space="preserve">	23</w:t>
      </w:r>
    </w:p>
    <w:p>
      <w:pPr>
        <w:tabs>
          <w:tab w:val="right" w:pos="9026" w:leader="dot"/>
        </w:tabs>
        <w:spacing w:after="120"/>
        <w:ind w:left="0"/>
      </w:pPr>
      <w:r>
        <w:rPr>
          <w:b/>
          <w:bCs/>
          <w:color w:val="1F4E5F"/>
          <w:sz w:val="23"/>
          <w:szCs w:val="23"/>
        </w:rPr>
        <w:t xml:space="preserve">5. Discussion transversale finale</w:t>
      </w:r>
      <w:r>
        <w:rPr>
          <w:sz w:val="23"/>
          <w:szCs w:val="23"/>
        </w:rPr>
        <w:t xml:space="preserve">	24</w:t>
      </w:r>
    </w:p>
    <w:p>
      <w:pPr>
        <w:tabs>
          <w:tab w:val="right" w:pos="9026" w:leader="dot"/>
        </w:tabs>
        <w:spacing w:after="120"/>
        <w:ind w:left="0"/>
      </w:pPr>
      <w:r>
        <w:rPr>
          <w:b/>
          <w:bCs/>
          <w:color w:val="1F4E5F"/>
          <w:sz w:val="23"/>
          <w:szCs w:val="23"/>
        </w:rPr>
        <w:t xml:space="preserve">6. Conclusion générale</w:t>
      </w:r>
      <w:r>
        <w:rPr>
          <w:sz w:val="23"/>
          <w:szCs w:val="23"/>
        </w:rPr>
        <w:t xml:space="preserve">	26</w:t>
      </w:r>
    </w:p>
    <w:p>
      <w:pPr>
        <w:tabs>
          <w:tab w:val="right" w:pos="9026" w:leader="dot"/>
        </w:tabs>
        <w:spacing w:after="120"/>
        <w:ind w:left="0"/>
      </w:pPr>
      <w:r>
        <w:rPr>
          <w:b/>
          <w:bCs/>
          <w:color w:val="1F4E5F"/>
          <w:sz w:val="23"/>
          <w:szCs w:val="23"/>
        </w:rPr>
        <w:t xml:space="preserve">7. Bibliographie</w:t>
      </w:r>
      <w:r>
        <w:rPr>
          <w:sz w:val="23"/>
          <w:szCs w:val="23"/>
        </w:rPr>
        <w:t xml:space="preserve">	27</w:t>
      </w:r>
    </w:p>
    <w:p>
      <w:pPr>
        <w:spacing w:after="160" w:line="300"/>
        <w:jc w:val="left"/>
      </w:pPr>
      <w:r>
        <w:rPr>
          <w:b w:val="false"/>
          <w:bCs w:val="false"/>
          <w:i/>
          <w:iCs/>
          <w:color w:val="262626"/>
          <w:sz w:val="22"/>
          <w:szCs w:val="22"/>
        </w:rPr>
        <w:t xml:space="preserve">Note : cette pagination a été vérifiée sur la version la plus récente du document ; toute modification ultérieure du contenu peut la décaler légèrement.</w:t>
      </w:r>
    </w:p>
    <w:p>
      <w:r>
        <w:br w:type="page"/>
      </w:r>
    </w:p>
    <w:p>
      <w:pPr>
        <w:pStyle w:val="Heading1"/>
      </w:pPr>
      <w:r>
        <w:t xml:space="preserve">1. Introduction générale</w:t>
      </w:r>
    </w:p>
    <w:p>
      <w:pPr>
        <w:spacing w:after="160" w:line="300"/>
        <w:jc w:val="both"/>
      </w:pPr>
      <w:r>
        <w:rPr>
          <w:b w:val="false"/>
          <w:bCs w:val="false"/>
          <w:i w:val="false"/>
          <w:iCs w:val="false"/>
          <w:color w:val="262626"/>
          <w:sz w:val="22"/>
          <w:szCs w:val="22"/>
        </w:rPr>
        <w:t xml:space="preserve">Le deep learning regroupe une famille de méthodes d'apprentissage automatique fondées sur des réseaux de neurones à plusieurs couches, capables d'apprendre des représentations hiérarchiques directement à partir des données. Si le principe d'apprentissage par descente de gradient et rétropropagation reste commun à toutes ces méthodes, le choix de l'architecture neuronale n'est pas neutre : il doit refléter la structure intrinsèque des données traitées.</w:t>
      </w:r>
    </w:p>
    <w:p>
      <w:pPr>
        <w:spacing w:after="160" w:line="300"/>
        <w:jc w:val="both"/>
      </w:pPr>
      <w:r>
        <w:rPr>
          <w:b w:val="false"/>
          <w:bCs w:val="false"/>
          <w:i w:val="false"/>
          <w:iCs w:val="false"/>
          <w:color w:val="262626"/>
          <w:sz w:val="22"/>
          <w:szCs w:val="22"/>
        </w:rPr>
        <w:t xml:space="preserve">Ce projet a pour objectif de illustrer cette adéquation entre architecture et structure des données à travers trois cas d'usage complémentaires. Les données tabulaires, dépourvues de structure spatiale ou temporelle explicite entre leurs variables, sont traitées par un perceptron multicouche (MLP), modèle ne faisant aucune hypothèse a priori sur l'organisation des entrées. Les images, qui présentent une forte corrélation locale entre pixels voisins, sont traitées par un réseau de neurones convolutionnel (CNN), exploitant les principes de localité et de partage des poids. Les séquences textuelles, enfin, présentent une dépendance temporelle où l'ordre des éléments porte une information cruciale ; elles sont traitées par des architectures récurrentes (RNN, LSTM, GRU) et par un schéma encodeur-décodeur (Seq2Seq) pour la tâche de traduction automatique.</w:t>
      </w:r>
    </w:p>
    <w:p>
      <w:pPr>
        <w:spacing w:after="160" w:line="300"/>
        <w:jc w:val="both"/>
      </w:pPr>
      <w:r>
        <w:rPr>
          <w:b w:val="false"/>
          <w:bCs w:val="false"/>
          <w:i w:val="false"/>
          <w:iCs w:val="false"/>
          <w:color w:val="262626"/>
          <w:sz w:val="22"/>
          <w:szCs w:val="22"/>
        </w:rPr>
        <w:t xml:space="preserve">Le rapport est structuré en trois parties correspondant à ces trois familles de modèles, chacune suivant la même progression méthodologique : présentation théorique des concepts fondamentaux, préparation rigoureuse des données, implémentation sous PyTorch, étude expérimentale comparative, analyse critique des résultats, et réponse à une question de synthèse portant sur le dataset réel étudié. Une discussion transversale finale met en perspective les liens conceptuels entre les trois approches.</w:t>
      </w:r>
    </w:p>
    <w:p>
      <w:r>
        <w:br w:type="page"/>
      </w:r>
    </w:p>
    <w:p>
      <w:pPr>
        <w:pStyle w:val="Heading1"/>
      </w:pPr>
      <w:r>
        <w:t xml:space="preserve">2. Partie I — MLP et ingénierie PyTorch pour données tabulaires</w:t>
      </w:r>
    </w:p>
    <w:p>
      <w:pPr>
        <w:pStyle w:val="Heading2"/>
      </w:pPr>
      <w:r>
        <w:t xml:space="preserve">2.1 Présentation théorique</w:t>
      </w:r>
    </w:p>
    <w:p>
      <w:pPr>
        <w:pStyle w:val="Heading3"/>
      </w:pPr>
      <w:r>
        <w:t xml:space="preserve">2.1.1 Concepts fondamentaux de PyTorch</w:t>
      </w:r>
    </w:p>
    <w:p>
      <w:pPr>
        <w:spacing w:after="160" w:line="300"/>
        <w:jc w:val="both"/>
      </w:pPr>
      <w:r>
        <w:rPr>
          <w:b w:val="false"/>
          <w:bCs w:val="false"/>
          <w:i w:val="false"/>
          <w:iCs w:val="false"/>
          <w:color w:val="262626"/>
          <w:sz w:val="22"/>
          <w:szCs w:val="22"/>
        </w:rPr>
        <w:t xml:space="preserve">La brique de base de tout modèle PyTorch est la classe nn.Module. Un objet héritant de cette classe encapsule une transformation paramétrée de l'entrée vers la sortie : il reçoit un tenseur, le transforme via la méthode forward(), et peut contenir des sous-modules ainsi que des paramètres apprenables. nn.Module gère automatiquement l'enregistrement de ces paramètres, ce qui permet leur découverte systématique par l'optimiseur, leur déplacement homogène entre CPU et GPU via la méthode .to(device), ainsi que leur sérialisation.</w:t>
      </w:r>
    </w:p>
    <w:p>
      <w:pPr>
        <w:spacing w:after="160" w:line="300"/>
        <w:jc w:val="both"/>
      </w:pPr>
      <w:r>
        <w:rPr>
          <w:b w:val="false"/>
          <w:bCs w:val="false"/>
          <w:i w:val="false"/>
          <w:iCs w:val="false"/>
          <w:color w:val="262626"/>
          <w:sz w:val="22"/>
          <w:szCs w:val="22"/>
        </w:rPr>
        <w:t xml:space="preserve">Un paramètre (nn.Parameter) est un tenseur dont l'attribut requires_grad est activé : PyTorch construit alors dynamiquement, à chaque opération impliquant ce tenseur, un graphe de calcul qui permettra, lors de l'appel à loss.backward(), de calculer le gradient de la fonction de perte par rapport à ce paramètre, par application de la règle de dérivation en chaîne. Cette opération constitue la rétropropagation. L'optimiseur (par exemple Adam) utilise ensuite ce gradient pour mettre à jour la valeur du paramètre dans la direction qui réduit la perte.</w:t>
      </w:r>
    </w:p>
    <w:p>
      <w:pPr>
        <w:spacing w:after="160" w:line="300"/>
        <w:jc w:val="both"/>
      </w:pPr>
      <w:r>
        <w:rPr>
          <w:b w:val="false"/>
          <w:bCs w:val="false"/>
          <w:i w:val="false"/>
          <w:iCs w:val="false"/>
          <w:color w:val="262626"/>
          <w:sz w:val="22"/>
          <w:szCs w:val="22"/>
        </w:rPr>
        <w:t xml:space="preserve">Deux mécanismes d'introspection du modèle doivent être distingués. La méthode named_parameters() retourne uniquement les tenseurs entraînables du modèle, sous la forme de couples (nom, paramètre) ; c'est la vue utilisée par l'optimiseur. La méthode state_dict() retourne un dictionnaire ordonné contenant l'intégralité de l'état persistant du modèle, y compris d'éventuels buffers non entraînables (par exemple les moyennes glissantes d'une couche de BatchNorm) ; c'est ce format qui est utilisé pour la sauvegarde et le rechargement d'un modèle entraîné.</w:t>
      </w:r>
    </w:p>
    <w:p>
      <w:pPr>
        <w:spacing w:after="160" w:line="300"/>
        <w:jc w:val="both"/>
      </w:pPr>
      <w:r>
        <w:rPr>
          <w:b w:val="false"/>
          <w:bCs w:val="false"/>
          <w:i w:val="false"/>
          <w:iCs w:val="false"/>
          <w:color w:val="262626"/>
          <w:sz w:val="22"/>
          <w:szCs w:val="22"/>
        </w:rPr>
        <w:t xml:space="preserve">Enfin, la notion de device désigne l'emplacement mémoire où s'effectuent les calculs (CPU ou GPU). PyTorch ne migre jamais automatiquement un tenseur d'un device à un autre : le modèle et les données doivent impérativement se trouver sur le même device au moment de chaque opération, sous peine d'erreur d'exécution. La détection du device disponible se fait classiquement via torch.cuda.is_available().</w:t>
      </w:r>
    </w:p>
    <w:p>
      <w:pPr>
        <w:pStyle w:val="Heading3"/>
      </w:pPr>
      <w:r>
        <w:t xml:space="preserve">2.1.2 nn.Sequential et classe personnalisée : analyse comparative</w:t>
      </w:r>
    </w:p>
    <w:p>
      <w:pPr>
        <w:spacing w:after="160" w:line="300"/>
        <w:jc w:val="both"/>
      </w:pPr>
      <w:r>
        <w:rPr>
          <w:b w:val="false"/>
          <w:bCs w:val="false"/>
          <w:i w:val="false"/>
          <w:iCs w:val="false"/>
          <w:color w:val="262626"/>
          <w:sz w:val="22"/>
          <w:szCs w:val="22"/>
        </w:rPr>
        <w:t xml:space="preserve">PyTorch propose deux approches pour définir une architecture. La première, nn.Sequential, consiste à chaîner déclarativement une liste de couches dans un ordre strictement linéaire. La seconde consiste à définir une classe héritant de nn.Module, dans laquelle la méthode forward() peut implémenter une logique arbitraire (branchements conditionnels, connexions résiduelles, sorties multiples, réutilisation de sous-modules).</w:t>
      </w:r>
    </w:p>
    <w:p>
      <w:pPr>
        <w:spacing w:after="160" w:line="300"/>
        <w:jc w:val="both"/>
      </w:pPr>
      <w:r>
        <w:rPr>
          <w:b w:val="false"/>
          <w:bCs w:val="false"/>
          <w:i w:val="false"/>
          <w:iCs w:val="false"/>
          <w:color w:val="262626"/>
          <w:sz w:val="22"/>
          <w:szCs w:val="22"/>
        </w:rPr>
        <w:t xml:space="preserve">Il importe de souligner, sur le plan théorique, que pour une architecture strictement linéaire donnée (mêmes couches, mêmes dimensions, même initialisation), les deux approches sont mathématiquement équivalentes : elles définissent exactement la même fonction paramétrée. Le choix entre les deux est donc un choix d'ingénierie logicielle — lisibilité et concision pour nn.Sequential, flexibilité architecturale pour la classe personnalisée — et non un choix qui affecte le pouvoir expressif du modèle.</w:t>
      </w:r>
    </w:p>
    <w:p>
      <w:pPr>
        <w:pStyle w:val="Heading3"/>
      </w:pPr>
      <w:r>
        <w:t xml:space="preserve">2.1.3 Stratégies d'initialisation des poids</w:t>
      </w:r>
    </w:p>
    <w:p>
      <w:pPr>
        <w:spacing w:after="160" w:line="300"/>
        <w:jc w:val="both"/>
      </w:pPr>
      <w:r>
        <w:rPr>
          <w:b w:val="false"/>
          <w:bCs w:val="false"/>
          <w:i w:val="false"/>
          <w:iCs w:val="false"/>
          <w:color w:val="262626"/>
          <w:sz w:val="22"/>
          <w:szCs w:val="22"/>
        </w:rPr>
        <w:t xml:space="preserve">L'initialisation des poids conditionne fortement la dynamique d'apprentissage d'un réseau de neurones. Trois stratégies ont été comparées expérimentalement dans ce projet :</w:t>
      </w:r>
    </w:p>
    <w:p>
      <w:pPr>
        <w:pStyle w:val="ListParagraph"/>
        <w:numPr>
          <w:ilvl w:val="0"/>
          <w:numId w:val="2"/>
        </w:numPr>
        <w:spacing w:after="100"/>
      </w:pPr>
      <w:r>
        <w:rPr>
          <w:color w:val="262626"/>
          <w:sz w:val="22"/>
          <w:szCs w:val="22"/>
        </w:rPr>
        <w:t xml:space="preserve">Initialisation gaussienne : les poids sont tirés d'une loi normale centrée de faible variance (ici σ = 0,01). Cette stratégie rompt la symétrie entre neurones, mais une variance mal calibrée par rapport à la profondeur du réseau peut entraîner un phénomène de vanishing ou exploding activations.</w:t>
      </w:r>
    </w:p>
    <w:p>
      <w:pPr>
        <w:pStyle w:val="ListParagraph"/>
        <w:numPr>
          <w:ilvl w:val="0"/>
          <w:numId w:val="2"/>
        </w:numPr>
        <w:spacing w:after="100"/>
      </w:pPr>
      <w:r>
        <w:rPr>
          <w:color w:val="262626"/>
          <w:sz w:val="22"/>
          <w:szCs w:val="22"/>
        </w:rPr>
        <w:t xml:space="preserve">Initialisation constante : tous les poids d'une couche reçoivent la même valeur initiale. Cette stratégie est pédagogiquement instructive mais théoriquement défaillante : tous les neurones d'une même couche calculent alors la même sortie et reçoivent le même gradient à chaque itération, ce qui empêche toute différenciation entre eux au cours de l'entraînement (problème de symétrie).</w:t>
      </w:r>
    </w:p>
    <w:p>
      <w:pPr>
        <w:pStyle w:val="ListParagraph"/>
        <w:numPr>
          <w:ilvl w:val="0"/>
          <w:numId w:val="2"/>
        </w:numPr>
        <w:spacing w:after="100"/>
      </w:pPr>
      <w:r>
        <w:rPr>
          <w:color w:val="262626"/>
          <w:sz w:val="22"/>
          <w:szCs w:val="22"/>
        </w:rPr>
        <w:t xml:space="preserve">Initialisation de Xavier (Glorot) : la variance des poids est calibrée en fonction du nombre d'entrées et de sorties de la couche (fan_in + fan_out), de manière à préserver la variance du signal à travers les couches successives du réseau. C'est la stratégie recommandée pour des réseaux profonds à activation ReLU.</w:t>
      </w:r>
    </w:p>
    <w:p>
      <w:pPr>
        <w:spacing w:after="160" w:line="300"/>
        <w:jc w:val="both"/>
      </w:pPr>
      <w:r>
        <w:rPr>
          <w:b w:val="false"/>
          <w:bCs w:val="false"/>
          <w:i w:val="false"/>
          <w:iCs w:val="false"/>
          <w:color w:val="262626"/>
          <w:sz w:val="22"/>
          <w:szCs w:val="22"/>
        </w:rPr>
        <w:t xml:space="preserve">Le détail des résultats expérimentaux comparant ces trois stratégies sur le dataset Breast Cancer Wisconsin est présenté en section 2.5.</w:t>
      </w:r>
    </w:p>
    <w:p>
      <w:pPr>
        <w:pStyle w:val="Heading2"/>
      </w:pPr>
      <w:r>
        <w:t xml:space="preserve">2.2 Dataset : Breast Cancer Wisconsin</w:t>
      </w:r>
    </w:p>
    <w:p>
      <w:pPr>
        <w:spacing w:after="160" w:line="300"/>
        <w:jc w:val="both"/>
      </w:pPr>
      <w:r>
        <w:rPr>
          <w:b w:val="false"/>
          <w:bCs w:val="false"/>
          <w:i w:val="false"/>
          <w:iCs w:val="false"/>
          <w:color w:val="262626"/>
          <w:sz w:val="22"/>
          <w:szCs w:val="22"/>
        </w:rPr>
        <w:t xml:space="preserve">Le dataset Breast Cancer Wisconsin (Diagnostic) contient 569 échantillons décrits par 30 variables numériques continues (rayon, texture, périmètre, aire, concavité, etc.), extraites par analyse d'images de cytologie de biopsies mammaires. La tâche associée est une classification binaire : tumeur maligne ou bénigne. Aucune valeur manquante n'a été détectée lors de l'exploration du jeu de données ; l'étape de nettoyage a donc consisté en une vérification systématique plutôt qu'en une correction.</w:t>
      </w:r>
    </w:p>
    <w:p>
      <w:pPr>
        <w:spacing w:after="160" w:line="300"/>
        <w:jc w:val="left"/>
      </w:pPr>
      <w:r>
        <w:rPr>
          <w:b w:val="false"/>
          <w:bCs w:val="false"/>
          <w:i w:val="false"/>
          <w:iCs w:val="false"/>
          <w:color w:val="262626"/>
          <w:sz w:val="22"/>
          <w:szCs w:val="22"/>
        </w:rPr>
        <w:t xml:space="preserve">Le prétraitement appliqué comprend une normalisation des variables par StandardScaler (centrage-réduction, moyenne nulle et écart-type unitaire), ajustée exclusivement sur l'ensemble d'entraînement puis appliquée aux ensembles de validation et de test, afin d'éviter toute fuite d'information (data leakage). Le découpage retenu est de 70 % pour l'entraînement, 15 % pour la validation et 15 % pour le test, avec stratification selon la classe cible pour préserver la proportion de chaque classe dans chaque sous-ensemble.</w:t>
      </w:r>
    </w:p>
    <w:p>
      <w:pPr>
        <w:pStyle w:val="Heading2"/>
      </w:pPr>
      <w:r>
        <w:t xml:space="preserve">2.3 Architectures implémentées</w:t>
      </w:r>
    </w:p>
    <w:p>
      <w:pPr>
        <w:spacing w:after="160" w:line="300"/>
        <w:jc w:val="left"/>
      </w:pPr>
      <w:r>
        <w:rPr>
          <w:b w:val="false"/>
          <w:bCs w:val="false"/>
          <w:i w:val="false"/>
          <w:iCs w:val="false"/>
          <w:color w:val="262626"/>
          <w:sz w:val="22"/>
          <w:szCs w:val="22"/>
        </w:rPr>
        <w:t xml:space="preserve">Deux implémentations équivalentes du même MLP ont été réalisées :</w:t>
      </w:r>
    </w:p>
    <w:p>
      <w:pPr>
        <w:pStyle w:val="Heading3"/>
      </w:pPr>
      <w:r>
        <w:t xml:space="preserve">2.3.1 Version nn.Sequential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mlp_sequential = nn.Sequential(</w:t>
            </w:r>
          </w:p>
          <w:p>
            <w:pPr>
              <w:spacing w:after="0"/>
            </w:pPr>
            <w:r>
              <w:rPr>
                <w:rFonts w:ascii="Consolas" w:cs="Consolas" w:eastAsia="Consolas" w:hAnsi="Consolas"/>
                <w:color w:val="1A1A1A"/>
                <w:sz w:val="18"/>
                <w:szCs w:val="18"/>
              </w:rPr>
              <w:t xml:space="preserve">    nn.Linear(30, 64), nn.ReLU(), nn.Dropout(0.2),</w:t>
            </w:r>
          </w:p>
          <w:p>
            <w:pPr>
              <w:spacing w:after="0"/>
            </w:pPr>
            <w:r>
              <w:rPr>
                <w:rFonts w:ascii="Consolas" w:cs="Consolas" w:eastAsia="Consolas" w:hAnsi="Consolas"/>
                <w:color w:val="1A1A1A"/>
                <w:sz w:val="18"/>
                <w:szCs w:val="18"/>
              </w:rPr>
              <w:t xml:space="preserve">    nn.Linear(64, 32), nn.ReLU(), nn.Dropout(0.2),</w:t>
            </w:r>
          </w:p>
          <w:p>
            <w:pPr>
              <w:spacing w:after="0"/>
            </w:pPr>
            <w:r>
              <w:rPr>
                <w:rFonts w:ascii="Consolas" w:cs="Consolas" w:eastAsia="Consolas" w:hAnsi="Consolas"/>
                <w:color w:val="1A1A1A"/>
                <w:sz w:val="18"/>
                <w:szCs w:val="18"/>
              </w:rPr>
              <w:t xml:space="preserve">    nn.Linear(32, 1)   # logit unique (classification binaire)</w:t>
            </w:r>
          </w:p>
          <w:p>
            <w:pPr>
              <w:spacing w:after="0"/>
            </w:pPr>
            <w:r>
              <w:rPr>
                <w:rFonts w:ascii="Consolas" w:cs="Consolas" w:eastAsia="Consolas" w:hAnsi="Consolas"/>
                <w:color w:val="1A1A1A"/>
                <w:sz w:val="18"/>
                <w:szCs w:val="18"/>
              </w:rPr>
              <w:t xml:space="preserve">)</w:t>
            </w:r>
          </w:p>
        </w:tc>
      </w:tr>
    </w:tbl>
    <w:p>
      <w:pPr>
        <w:pStyle w:val="Heading3"/>
      </w:pPr>
      <w:r>
        <w:t xml:space="preserve">2.3.2 Version classe personnalisée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class MLPCustom(nn.Module):</w:t>
            </w:r>
          </w:p>
          <w:p>
            <w:pPr>
              <w:spacing w:after="0"/>
            </w:pPr>
            <w:r>
              <w:rPr>
                <w:rFonts w:ascii="Consolas" w:cs="Consolas" w:eastAsia="Consolas" w:hAnsi="Consolas"/>
                <w:color w:val="1A1A1A"/>
                <w:sz w:val="18"/>
                <w:szCs w:val="18"/>
              </w:rPr>
              <w:t xml:space="preserve">    def __init__(self, input_dim=30, hidden_dims=(64,32)):</w:t>
            </w:r>
          </w:p>
          <w:p>
            <w:pPr>
              <w:spacing w:after="0"/>
            </w:pPr>
            <w:r>
              <w:rPr>
                <w:rFonts w:ascii="Consolas" w:cs="Consolas" w:eastAsia="Consolas" w:hAnsi="Consolas"/>
                <w:color w:val="1A1A1A"/>
                <w:sz w:val="18"/>
                <w:szCs w:val="18"/>
              </w:rPr>
              <w:t xml:space="preserve">        super().__init__()</w:t>
            </w:r>
          </w:p>
          <w:p>
            <w:pPr>
              <w:spacing w:after="0"/>
            </w:pPr>
            <w:r>
              <w:rPr>
                <w:rFonts w:ascii="Consolas" w:cs="Consolas" w:eastAsia="Consolas" w:hAnsi="Consolas"/>
                <w:color w:val="1A1A1A"/>
                <w:sz w:val="18"/>
                <w:szCs w:val="18"/>
              </w:rPr>
              <w:t xml:space="preserve">        self.fc1 = nn.Linear(input_dim, hidden_dims[0])</w:t>
            </w:r>
          </w:p>
          <w:p>
            <w:pPr>
              <w:spacing w:after="0"/>
            </w:pPr>
            <w:r>
              <w:rPr>
                <w:rFonts w:ascii="Consolas" w:cs="Consolas" w:eastAsia="Consolas" w:hAnsi="Consolas"/>
                <w:color w:val="1A1A1A"/>
                <w:sz w:val="18"/>
                <w:szCs w:val="18"/>
              </w:rPr>
              <w:t xml:space="preserve">        self.fc2 = nn.Linear(hidden_dims[0], hidden_dims[1])</w:t>
            </w:r>
          </w:p>
          <w:p>
            <w:pPr>
              <w:spacing w:after="0"/>
            </w:pPr>
            <w:r>
              <w:rPr>
                <w:rFonts w:ascii="Consolas" w:cs="Consolas" w:eastAsia="Consolas" w:hAnsi="Consolas"/>
                <w:color w:val="1A1A1A"/>
                <w:sz w:val="18"/>
                <w:szCs w:val="18"/>
              </w:rPr>
              <w:t xml:space="preserve">        self.fc3 = nn.Linear(hidden_dims[1], 1)</w:t>
            </w:r>
          </w:p>
          <w:p>
            <w:pPr>
              <w:spacing w:after="0"/>
            </w:pPr>
            <w:r>
              <w:rPr>
                <w:rFonts w:ascii="Consolas" w:cs="Consolas" w:eastAsia="Consolas" w:hAnsi="Consolas"/>
                <w:color w:val="1A1A1A"/>
                <w:sz w:val="18"/>
                <w:szCs w:val="18"/>
              </w:rPr>
              <w:t xml:space="preserve">        self.relu = nn.ReLU()</w:t>
            </w:r>
          </w:p>
          <w:p>
            <w:pPr>
              <w:spacing w:after="0"/>
            </w:pPr>
            <w:r>
              <w:rPr>
                <w:rFonts w:ascii="Consolas" w:cs="Consolas" w:eastAsia="Consolas" w:hAnsi="Consolas"/>
                <w:color w:val="1A1A1A"/>
                <w:sz w:val="18"/>
                <w:szCs w:val="18"/>
              </w:rPr>
              <w:t xml:space="preserve">        self.dropout = nn.Dropout(0.2)</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def forward(self, x):</w:t>
            </w:r>
          </w:p>
          <w:p>
            <w:pPr>
              <w:spacing w:after="0"/>
            </w:pPr>
            <w:r>
              <w:rPr>
                <w:rFonts w:ascii="Consolas" w:cs="Consolas" w:eastAsia="Consolas" w:hAnsi="Consolas"/>
                <w:color w:val="1A1A1A"/>
                <w:sz w:val="18"/>
                <w:szCs w:val="18"/>
              </w:rPr>
              <w:t xml:space="preserve">        x = self.dropout(self.relu(self.fc1(x)))</w:t>
            </w:r>
          </w:p>
          <w:p>
            <w:pPr>
              <w:spacing w:after="0"/>
            </w:pPr>
            <w:r>
              <w:rPr>
                <w:rFonts w:ascii="Consolas" w:cs="Consolas" w:eastAsia="Consolas" w:hAnsi="Consolas"/>
                <w:color w:val="1A1A1A"/>
                <w:sz w:val="18"/>
                <w:szCs w:val="18"/>
              </w:rPr>
              <w:t xml:space="preserve">        x = self.dropout(self.relu(self.fc2(x)))</w:t>
            </w:r>
          </w:p>
          <w:p>
            <w:pPr>
              <w:spacing w:after="0"/>
            </w:pPr>
            <w:r>
              <w:rPr>
                <w:rFonts w:ascii="Consolas" w:cs="Consolas" w:eastAsia="Consolas" w:hAnsi="Consolas"/>
                <w:color w:val="1A1A1A"/>
                <w:sz w:val="18"/>
                <w:szCs w:val="18"/>
              </w:rPr>
              <w:t xml:space="preserve">        return self.fc3(x)</w:t>
            </w:r>
          </w:p>
        </w:tc>
      </w:tr>
    </w:tbl>
    <w:p>
      <w:pPr>
        <w:pStyle w:val="Heading2"/>
      </w:pPr>
      <w:r>
        <w:t xml:space="preserve">2.4 Inspection des paramètres, sauvegarde et device</w:t>
      </w:r>
    </w:p>
    <w:p>
      <w:pPr>
        <w:spacing w:after="160" w:line="300"/>
        <w:jc w:val="both"/>
      </w:pPr>
      <w:r>
        <w:rPr>
          <w:b w:val="false"/>
          <w:bCs w:val="false"/>
          <w:i w:val="false"/>
          <w:iCs w:val="false"/>
          <w:color w:val="262626"/>
          <w:sz w:val="22"/>
          <w:szCs w:val="22"/>
        </w:rPr>
        <w:t xml:space="preserve">L'inspection via named_parameters() permet de lister, pour chaque couche linéaire, le nom du paramètre (poids ou biais), sa forme (shape) et le nombre de valeurs entraînables qu'il contient. La méthode state_dict() expose quant à elle l'état complet du modèle sous forme de dictionnaire ordonné, format utilisé pour la persistance : seul l'état des paramètres est sauvegardé via torch.save(model.state_dict(), chemin), plutôt que l'objet modèle complet, afin de garantir portabilité et stabilité entre versions de PyTorch. Le rechargement s'effectue par instanciation d'un nouveau modèle suivi de load_state_dict(). L'exécution sur le device disponible (CPU ou GPU) est gérée de manière uniforme via torch.device("cuda" if torch.cuda.is_available() else "cpu"), appliqué à la fois au modèle et à chaque batch de données.</w:t>
      </w:r>
    </w:p>
    <w:p>
      <w:pPr>
        <w:pStyle w:val="Heading2"/>
      </w:pPr>
      <w:r>
        <w:t xml:space="preserve">2.5 Résultats expérimentaux</w:t>
      </w:r>
    </w:p>
    <w:p>
      <w:pPr>
        <w:spacing w:after="60" w:before="160"/>
        <w:jc w:val="center"/>
      </w:pPr>
      <w:r>
        <w:drawing>
          <wp:inline distT="0" distB="0" distL="0" distR="0">
            <wp:extent cx="5076825"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76825" cy="1762125"/>
                    </a:xfrm>
                    <a:prstGeom prst="rect">
                      <a:avLst/>
                    </a:prstGeom>
                  </pic:spPr>
                </pic:pic>
              </a:graphicData>
            </a:graphic>
          </wp:inline>
        </w:drawing>
      </w:r>
    </w:p>
    <w:p>
      <w:pPr>
        <w:spacing w:after="200"/>
        <w:jc w:val="center"/>
      </w:pPr>
      <w:r>
        <w:rPr>
          <w:i/>
          <w:iCs/>
          <w:color w:val="595959"/>
          <w:sz w:val="19"/>
          <w:szCs w:val="19"/>
        </w:rPr>
        <w:t xml:space="preserve">Figure 1 — Courbes de perte (loss) et d'accuracy — entraînement vs validation, MLP sur Breast Cancer Wisconsin (50 epochs).</w:t>
      </w:r>
    </w:p>
    <w:p>
      <w:pPr>
        <w:spacing w:after="160" w:line="300"/>
        <w:jc w:val="both"/>
      </w:pPr>
      <w:r>
        <w:rPr>
          <w:b w:val="false"/>
          <w:bCs w:val="false"/>
          <w:i w:val="false"/>
          <w:iCs w:val="false"/>
          <w:color w:val="262626"/>
          <w:sz w:val="22"/>
          <w:szCs w:val="22"/>
        </w:rPr>
        <w:t xml:space="preserve">Le modèle final (classe personnalisée MLPCustom, initialisation de Xavier, optimiseur Adam, 50 epochs) a été entraîné puis évalué sur le jeu de test (86 échantillons, soit 15 % du dataset). Les courbes d'apprentissage ci-dessus montrent une convergence rapide de la perte (loss) dès les 10 premières epochs, suivie d'une stabilisation, ainsi qu'une accuracy de validation atteignant un plateau proche de 0,98 dès l'epoch 5 environ. On note un léger écart entre la loss d'entraînement (qui continue de décroître légèrement jusqu'à environ 0,03) et la loss de validation (qui se stabilise autour de 0,05-0,06 et amorce une remontée très légère en fin d'entraînement), signe d'un début de surapprentissage modéré, contenu par le Dropout et l'arrêt sur le meilleur modèle au sens de la validation loss.</w:t>
      </w:r>
    </w:p>
    <w:p>
      <w:pPr>
        <w:spacing w:after="160" w:line="300"/>
        <w:jc w:val="both"/>
      </w:pPr>
      <w:r>
        <w:rPr>
          <w:b w:val="false"/>
          <w:bCs w:val="false"/>
          <w:i w:val="false"/>
          <w:iCs w:val="false"/>
          <w:color w:val="262626"/>
          <w:sz w:val="22"/>
          <w:szCs w:val="22"/>
        </w:rPr>
        <w:t xml:space="preserve">La matrice de confusion obtenue sur le jeu de test (86 échantillons) est la suivante (lignes : classe réelle ; colonnes : classe prédite) :</w:t>
      </w:r>
    </w:p>
    <w:p>
      <w:pPr>
        <w:spacing w:after="60" w:before="160"/>
        <w:jc w:val="center"/>
      </w:pPr>
      <w:r>
        <w:drawing>
          <wp:inline distT="0" distB="0" distL="0" distR="0">
            <wp:extent cx="317182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71825" cy="2038350"/>
                    </a:xfrm>
                    <a:prstGeom prst="rect">
                      <a:avLst/>
                    </a:prstGeom>
                  </pic:spPr>
                </pic:pic>
              </a:graphicData>
            </a:graphic>
          </wp:inline>
        </w:drawing>
      </w:r>
    </w:p>
    <w:p>
      <w:pPr>
        <w:spacing w:after="200"/>
        <w:jc w:val="center"/>
      </w:pPr>
      <w:r>
        <w:rPr>
          <w:i/>
          <w:iCs/>
          <w:color w:val="595959"/>
          <w:sz w:val="19"/>
          <w:szCs w:val="19"/>
        </w:rPr>
        <w:t xml:space="preserve">Figure 2 — Matrice de confusion du MLP final sur le jeu de test (Breast Cancer Wisconsin).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Réel \ Prédit</w:t>
            </w:r>
          </w:p>
        </w:tc>
        <w:tc>
          <w:tcPr>
            <w:tcW w:type="dxa" w:w="31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Malignant</w:t>
            </w:r>
          </w:p>
        </w:tc>
        <w:tc>
          <w:tcPr>
            <w:tcW w:type="dxa" w:w="312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Benign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Malignant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31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1</w:t>
            </w:r>
          </w:p>
        </w:tc>
      </w:tr>
      <w:tr>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Benign</w:t>
            </w:r>
          </w:p>
        </w:tc>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2</w:t>
            </w:r>
          </w:p>
        </w:tc>
        <w:tc>
          <w:tcPr>
            <w:tcW w:type="dxa" w:w="312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52</w:t>
            </w:r>
          </w:p>
        </w:tc>
      </w:tr>
    </w:tbl>
    <w:p>
      <w:pPr>
        <w:spacing w:after="160" w:line="300"/>
        <w:jc w:val="both"/>
      </w:pPr>
      <w:r>
        <w:rPr>
          <w:b w:val="false"/>
          <w:bCs w:val="false"/>
          <w:i w:val="false"/>
          <w:iCs w:val="false"/>
          <w:color w:val="262626"/>
          <w:sz w:val="22"/>
          <w:szCs w:val="22"/>
        </w:rPr>
        <w:t xml:space="preserve">Les métriques calculées à partir de cette matrice de confusion sont présentées ci-dessous (classe « benign » prise comme classe positive, conformément à l'encodage par défaut du dataset scikit-learn)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Métrique</w:t>
            </w:r>
          </w:p>
        </w:tc>
        <w:tc>
          <w:tcPr>
            <w:tcW w:type="dxa" w:w="46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Valeur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0,9651</w:t>
            </w:r>
          </w:p>
        </w:tc>
      </w:tr>
      <w:tr>
        <w:tc>
          <w:tcPr>
            <w:tcW w:type="dxa" w:w="468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Precision (benign)</w:t>
            </w:r>
          </w:p>
        </w:tc>
        <w:tc>
          <w:tcPr>
            <w:tcW w:type="dxa" w:w="468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0,9811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Recall (benign)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0,9630</w:t>
            </w:r>
          </w:p>
        </w:tc>
      </w:tr>
      <w:tr>
        <w:tc>
          <w:tcPr>
            <w:tcW w:type="dxa" w:w="468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F1-score (benign)</w:t>
            </w:r>
          </w:p>
        </w:tc>
        <w:tc>
          <w:tcPr>
            <w:tcW w:type="dxa" w:w="468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0,9720</w:t>
            </w:r>
          </w:p>
        </w:tc>
      </w:tr>
    </w:tbl>
    <w:p>
      <w:pPr>
        <w:spacing w:after="160" w:line="300"/>
        <w:jc w:val="both"/>
      </w:pPr>
      <w:r>
        <w:rPr>
          <w:b w:val="false"/>
          <w:bCs w:val="false"/>
          <w:i w:val="false"/>
          <w:iCs w:val="false"/>
          <w:color w:val="262626"/>
          <w:sz w:val="22"/>
          <w:szCs w:val="22"/>
        </w:rPr>
        <w:t xml:space="preserve">Sur 86 échantillons de test, seules 3 erreurs de classification sont commises : 1 tumeur maligne classée à tort comme bénigne (faux négatif) et 2 tumeurs bénignes classées à tort comme malignes (faux positifs). Dans un contexte médical, le faux négatif (tumeur maligne non détectée) est l'erreur la plus coûteuse cliniquement ; son occurrence unique sur 33 cas malins du jeu de test (recall malignant = 0,9688, soit 31/32) constitue un résultat satisfaisant pour ce modèle, sans toutefois garantir une généralisation à plus grande échelle compte tenu de la taille réduite du jeu de test.</w:t>
      </w:r>
    </w:p>
    <w:p>
      <w:pPr>
        <w:pStyle w:val="Heading2"/>
      </w:pPr>
      <w:r>
        <w:t xml:space="preserve">2.6 Analyse critique</w:t>
      </w:r>
    </w:p>
    <w:p>
      <w:pPr>
        <w:spacing w:after="160" w:line="300"/>
        <w:jc w:val="both"/>
      </w:pPr>
      <w:r>
        <w:rPr>
          <w:b w:val="false"/>
          <w:bCs w:val="false"/>
          <w:i w:val="false"/>
          <w:iCs w:val="false"/>
          <w:color w:val="262626"/>
          <w:sz w:val="22"/>
          <w:szCs w:val="22"/>
        </w:rPr>
        <w:t xml:space="preserve">Les courbes d'apprentissage confirment une dynamique d'entraînement saine : la décroissance rapide de la loss durant les 10 premières epochs traduit une initialisation de Xavier efficace, cohérente avec l'attente théorique selon laquelle cette stratégie préserve la variance du signal à travers les couches et favorise une convergence rapide. L'écart croissant, bien que modéré, entre loss d'entraînement et loss de validation à partir de l'epoch 20 environ constitue un signal de sur-apprentissage léger, attendu sur un jeu de données de taille restreinte (569 échantillons au total, dont seulement 398 pour l'entraînement après découpage 70/15/15) ; le Dropout (taux 0,2) et la sélection du meilleur modèle au sens de la validation loss limitent efficacement l'impact de ce phénomène sur la performance finale en test.</w:t>
      </w:r>
    </w:p>
    <w:p>
      <w:pPr>
        <w:spacing w:after="160" w:line="300"/>
        <w:jc w:val="both"/>
      </w:pPr>
      <w:r>
        <w:rPr>
          <w:b w:val="false"/>
          <w:bCs w:val="false"/>
          <w:i w:val="false"/>
          <w:iCs w:val="false"/>
          <w:color w:val="262626"/>
          <w:sz w:val="22"/>
          <w:szCs w:val="22"/>
        </w:rPr>
        <w:t xml:space="preserve">La performance finale (accuracy 0,9651, F1-score 0,9720 pour la classe bénigne) confirme empiriquement la pertinence d'un MLP pour cette tâche de classification tabulaire, sans toutefois permettre de conclure à une supériorité du MLP sur des méthodes plus classiques (Random Forest, régression logistique régularisée) pour ce même dataset, ces dernières atteignant typiquement des performances comparables sur Breast Cancer Wisconsin compte tenu de sa séparabilité relativement favorable. L'apport spécifique du deep learning apparaît ainsi davantage comme une démonstration méthodologique (maîtrise de l'ingénierie PyTorch) que comme un gain de performance décisif sur ce dataset particulier, ce qui est cohérent avec la discussion de la question de synthèse ci-dessous.</w:t>
      </w:r>
    </w:p>
    <w:p>
      <w:pPr>
        <w:pStyle w:val="Heading2"/>
      </w:pPr>
      <w:r>
        <w:t xml:space="preserve">2.7 Question de synthèse — Partie I</w:t>
      </w:r>
    </w:p>
    <w:p>
      <w:pPr>
        <w:spacing w:after="120" w:before="120"/>
      </w:pPr>
      <w:r>
        <w:rPr>
          <w:i/>
          <w:iCs/>
          <w:sz w:val="22"/>
          <w:szCs w:val="22"/>
        </w:rPr>
        <w:t xml:space="preserve">Dans quelle mesure un MLP bien paramétré constitue-t-il une solution pertinente pour la classification tabulaire sur un dataset réel, et quelles sont ses principales limites au regard de la structure statistique des données étudiées ?</w:t>
      </w:r>
    </w:p>
    <w:p>
      <w:pPr>
        <w:spacing w:after="160" w:line="300"/>
        <w:jc w:val="both"/>
      </w:pPr>
      <w:r>
        <w:rPr>
          <w:b w:val="false"/>
          <w:bCs w:val="false"/>
          <w:i w:val="false"/>
          <w:iCs w:val="false"/>
          <w:color w:val="262626"/>
          <w:sz w:val="22"/>
          <w:szCs w:val="22"/>
        </w:rPr>
        <w:t xml:space="preserve">Le dataset Breast Cancer Wisconsin est composé de variables tabulaires continues, sans structure spatiale (à la différence d'une image) ni dépendance séquentielle (à la différence d'un texte) entre les colonnes. Dans ce contexte, un MLP constitue un choix architectural raisonnable précisément parce qu'il ne fait aucune hypothèse a priori sur l'organisation des variables d'entrée : chaque neurone de la première couche cachée a accès à l'ensemble des 30 variables simultanément, ce qui lui permet d'apprendre librement les combinaisons et interactions pertinentes entre elles, sans contrainte structurelle imposée par l'architecture elle-même (contrairement à un CNN, qui impose une contrainte de localité spatiale non pertinente ici).</w:t>
      </w:r>
    </w:p>
    <w:p>
      <w:pPr>
        <w:spacing w:after="160" w:line="300"/>
        <w:jc w:val="both"/>
      </w:pPr>
      <w:r>
        <w:rPr>
          <w:b w:val="false"/>
          <w:bCs w:val="false"/>
          <w:i w:val="false"/>
          <w:iCs w:val="false"/>
          <w:color w:val="262626"/>
          <w:sz w:val="22"/>
          <w:szCs w:val="22"/>
        </w:rPr>
        <w:t xml:space="preserve">Les résultats expérimentaux obtenus (accuracy 0,9651, F1-score 0,9720 pour la classe bénigne, seulement 3 erreurs sur 86 échantillons de test) confirment empiriquement cette pertinence : le MLP, bien paramétré (initialisation de Xavier, régularisation par Dropout, normalisation préalable des variables), atteint une performance élevée sur cette tâche de classification binaire, avec un taux d'erreur particulièrement faible sur la classe cliniquement critique (un seul faux négatif sur 32 cas malins du jeu de test).</w:t>
      </w:r>
    </w:p>
    <w:p>
      <w:pPr>
        <w:spacing w:after="160" w:line="300"/>
        <w:jc w:val="both"/>
      </w:pPr>
      <w:r>
        <w:rPr>
          <w:b w:val="false"/>
          <w:bCs w:val="false"/>
          <w:i w:val="false"/>
          <w:iCs w:val="false"/>
          <w:color w:val="262626"/>
          <w:sz w:val="22"/>
          <w:szCs w:val="22"/>
        </w:rPr>
        <w:t xml:space="preserve">Les limites du MLP sur ce type de données tiennent cependant à plusieurs facteurs. D'abord, sa sensibilité à l'échelle des variables impose un prétraitement rigoureux (normalisation), sans lequel l'apprentissage peut être instable ou inefficace. Ensuite, contrairement à des méthodes par arbres (Random Forest, Gradient Boosting), qui partitionnent récursivement l'espace des variables et sont souvent compétitives, voire supérieures, sur des jeux de données tabulaires de taille modeste, le MLP ne bénéficie d'aucun biais structurel exploitant la nature tabulaire des données : il doit apprendre ab initio les interactions entre variables à partir d'un nombre d'échantillons réduit (569 dans le cas présent), ce qui l'expose à un risque de sur-apprentissage nécessitant une régularisation explicite (dropout, weight decay, arrêt précoce) — risque dont on observe d'ailleurs un signe précoce dans l'écart modéré entre loss d'entraînement et de validation (section 2.6). Enfin, l'absence d'interprétabilité directe des poids appris contraste avec la lisibilité des règles de décision d'un modèle par arbres, ce qui peut constituer un inconvénient dans un contexte médical où la justification de la décision importe autant que sa justesse.</w:t>
      </w:r>
    </w:p>
    <w:p>
      <w:r>
        <w:br w:type="page"/>
      </w:r>
    </w:p>
    <w:p>
      <w:pPr>
        <w:pStyle w:val="Heading1"/>
      </w:pPr>
      <w:r>
        <w:t xml:space="preserve">3. Partie II — CNN et vision par ordinateur</w:t>
      </w:r>
    </w:p>
    <w:p>
      <w:pPr>
        <w:pStyle w:val="Heading2"/>
      </w:pPr>
      <w:r>
        <w:t xml:space="preserve">3.1 Présentation théorique</w:t>
      </w:r>
    </w:p>
    <w:p>
      <w:pPr>
        <w:pStyle w:val="Heading3"/>
      </w:pPr>
      <w:r>
        <w:t xml:space="preserve">3.1.1 Limites du MLP pour les données image</w:t>
      </w:r>
    </w:p>
    <w:p>
      <w:pPr>
        <w:spacing w:after="160" w:line="300"/>
        <w:jc w:val="both"/>
      </w:pPr>
      <w:r>
        <w:rPr>
          <w:b w:val="false"/>
          <w:bCs w:val="false"/>
          <w:i w:val="false"/>
          <w:iCs w:val="false"/>
          <w:color w:val="262626"/>
          <w:sz w:val="22"/>
          <w:szCs w:val="22"/>
        </w:rPr>
        <w:t xml:space="preserve">L'application d'un MLP à une image nécessite l'aplatissement (flatten) de la matrice de pixels en un vecteur unidimensionnel, ce qui présente trois limites structurelles majeures. Premièrement, cet aplatissement détruit la structure spatiale de l'image : deux pixels physiquement voisins peuvent se retrouver arbitrairement éloignés dans le vecteur résultant, alors que leur proximité spatiale porte une information visuelle déterminante (contours, textures). Deuxièmement, un MLP n'opère aucun partage des poids : un même motif visuel (par exemple un bord) doit être appris indépendamment à chaque position possible de l'image, ce qui multiplie inutilement le nombre de paramètres nécessaires. Troisièmement, chaque neurone d'un MLP est connecté à la totalité des pixels d'entrée, alors que la plupart des motifs visuels pertinents sont des phénomènes locaux, n'impliquant qu'un voisinage restreint de pixels.</w:t>
      </w:r>
    </w:p>
    <w:p>
      <w:pPr>
        <w:spacing w:after="160" w:line="300"/>
        <w:jc w:val="both"/>
      </w:pPr>
      <w:r>
        <w:rPr>
          <w:b w:val="false"/>
          <w:bCs w:val="false"/>
          <w:i w:val="false"/>
          <w:iCs w:val="false"/>
          <w:color w:val="262626"/>
          <w:sz w:val="22"/>
          <w:szCs w:val="22"/>
        </w:rPr>
        <w:t xml:space="preserve">Le réseau de neurones convolutionnel répond à ces trois limites par les principes suivants : la localité, qui restreint la connectivité de chaque neurone à un petit voisinage de l'image (son champ réceptif) ; le partage des poids, qui applique le même filtre (noyau de convolution) à toutes les positions de l'image, conférant au réseau une équivariance par translation — un motif appris à un endroit est automatiquement détecté ailleurs ; et la hiérarchie des représentations, l'empilement de couches convolutives permettant de construire des représentations de complexité croissante (des bords vers les textures, puis vers des formes et objets), à mesure que le champ réceptif effectif s'élargit avec la profondeur du réseau.</w:t>
      </w:r>
    </w:p>
    <w:p>
      <w:pPr>
        <w:pStyle w:val="Heading3"/>
      </w:pPr>
      <w:r>
        <w:t xml:space="preserve">3.1.2 Calculs dimensionnels</w:t>
      </w:r>
    </w:p>
    <w:p>
      <w:pPr>
        <w:spacing w:after="160" w:line="300"/>
        <w:jc w:val="left"/>
      </w:pPr>
      <w:r>
        <w:rPr>
          <w:b w:val="false"/>
          <w:bCs w:val="false"/>
          <w:i w:val="false"/>
          <w:iCs w:val="false"/>
          <w:color w:val="262626"/>
          <w:sz w:val="22"/>
          <w:szCs w:val="22"/>
        </w:rPr>
        <w:t xml:space="preserve">La taille de sortie d'une couche de convolution se calcule par la formule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H_out = floor((H_in + 2 × padding − kernel_size) / stride) + 1</w:t>
            </w:r>
          </w:p>
        </w:tc>
      </w:tr>
    </w:tbl>
    <w:p>
      <w:pPr>
        <w:spacing w:after="160" w:line="300"/>
        <w:jc w:val="left"/>
      </w:pPr>
      <w:r>
        <w:rPr>
          <w:b w:val="false"/>
          <w:bCs w:val="false"/>
          <w:i w:val="false"/>
          <w:iCs w:val="false"/>
          <w:color w:val="262626"/>
          <w:sz w:val="22"/>
          <w:szCs w:val="22"/>
        </w:rPr>
        <w:t xml:space="preserve">et celle d'une couche de pooling, de manière analogue (stride égal à kernel_size par défaut)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H_out = floor((H_in − kernel_size) / stride) + 1</w:t>
            </w:r>
          </w:p>
        </w:tc>
      </w:tr>
    </w:tbl>
    <w:p>
      <w:pPr>
        <w:spacing w:after="160" w:line="300"/>
        <w:jc w:val="left"/>
      </w:pPr>
      <w:r>
        <w:rPr>
          <w:b w:val="false"/>
          <w:bCs w:val="false"/>
          <w:i w:val="false"/>
          <w:iCs w:val="false"/>
          <w:color w:val="262626"/>
          <w:sz w:val="22"/>
          <w:szCs w:val="22"/>
        </w:rPr>
        <w:t xml:space="preserve">Ces formules ont été appliquées et vérifiées numériquement sur l'architecture retenue (images Fashion-MNIST 28×28, 1 canal)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Opération</w:t>
            </w:r>
          </w:p>
        </w:tc>
        <w:tc>
          <w:tcPr>
            <w:tcW w:type="dxa" w:w="234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Entrée</w:t>
            </w:r>
          </w:p>
        </w:tc>
        <w:tc>
          <w:tcPr>
            <w:tcW w:type="dxa" w:w="234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Paramètres</w:t>
            </w:r>
          </w:p>
        </w:tc>
        <w:tc>
          <w:tcPr>
            <w:tcW w:type="dxa" w:w="234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Sortie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Conv2D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28×28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k=5, s=1, p=0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24×24</w:t>
            </w:r>
          </w:p>
        </w:tc>
      </w:tr>
      <w:tr>
        <w:tc>
          <w:tcPr>
            <w:tcW w:type="dxa" w:w="234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Conv2D (padding « same »)</w:t>
            </w:r>
          </w:p>
        </w:tc>
        <w:tc>
          <w:tcPr>
            <w:tcW w:type="dxa" w:w="234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28×28</w:t>
            </w:r>
          </w:p>
        </w:tc>
        <w:tc>
          <w:tcPr>
            <w:tcW w:type="dxa" w:w="234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k=5, s=1, p=2</w:t>
            </w:r>
          </w:p>
        </w:tc>
        <w:tc>
          <w:tcPr>
            <w:tcW w:type="dxa" w:w="234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28×28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MaxPool2D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28×28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k=2, s=2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14×14</w:t>
            </w:r>
          </w:p>
        </w:tc>
      </w:tr>
      <w:tr>
        <w:tc>
          <w:tcPr>
            <w:tcW w:type="dxa" w:w="234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Conv2D (padding « same »)</w:t>
            </w:r>
          </w:p>
        </w:tc>
        <w:tc>
          <w:tcPr>
            <w:tcW w:type="dxa" w:w="234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14×14</w:t>
            </w:r>
          </w:p>
        </w:tc>
        <w:tc>
          <w:tcPr>
            <w:tcW w:type="dxa" w:w="234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k=5, s=1, p=2</w:t>
            </w:r>
          </w:p>
        </w:tc>
        <w:tc>
          <w:tcPr>
            <w:tcW w:type="dxa" w:w="234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14×14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MaxPool2D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14×14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k=2, s=2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7×7</w:t>
            </w:r>
          </w:p>
        </w:tc>
      </w:tr>
    </w:tbl>
    <w:p>
      <w:pPr>
        <w:spacing w:after="160" w:line="300"/>
        <w:jc w:val="both"/>
      </w:pPr>
      <w:r>
        <w:rPr>
          <w:b w:val="false"/>
          <w:bCs w:val="false"/>
          <w:i w:val="false"/>
          <w:iCs w:val="false"/>
          <w:color w:val="262626"/>
          <w:sz w:val="22"/>
          <w:szCs w:val="22"/>
        </w:rPr>
        <w:t xml:space="preserve">Le nombre de paramètres d'une couche convolutive se calcule par : n_params = (k_h × k_w × C_in + 1) × C_out, le terme « +1 » correspondant au biais associé à chaque filtre.</w:t>
      </w:r>
    </w:p>
    <w:p>
      <w:pPr>
        <w:pStyle w:val="Heading2"/>
      </w:pPr>
      <w:r>
        <w:t xml:space="preserve">3.2 Implémentation manuelle des opérations fondamentales</w:t>
      </w:r>
    </w:p>
    <w:p>
      <w:pPr>
        <w:spacing w:after="160" w:line="300"/>
        <w:jc w:val="both"/>
      </w:pPr>
      <w:r>
        <w:rPr>
          <w:b w:val="false"/>
          <w:bCs w:val="false"/>
          <w:i w:val="false"/>
          <w:iCs w:val="false"/>
          <w:color w:val="262626"/>
          <w:sz w:val="22"/>
          <w:szCs w:val="22"/>
        </w:rPr>
        <w:t xml:space="preserve">Avant de recourir aux couches PyTorch standard, les trois opérations fondamentales d'un CNN ont été implémentées manuellement (corrélation croisée 2D, max-pooling, average-pooling), puis vérifiées par comparaison numérique directe avec leurs équivalents PyTorch (nn.Conv2d sans biais, F.max_pool2d, F.avg_pool2d) sur des tenseurs aléatoires identiques. Les trois implémentations manuelles concordent avec PyTorch à une tolérance de 1×10⁻⁵, ce qui valide leur exactitude.</w:t>
      </w:r>
    </w:p>
    <w:p>
      <w:pPr>
        <w:spacing w:after="160" w:line="300"/>
        <w:jc w:val="both"/>
      </w:pPr>
      <w:r>
        <w:rPr>
          <w:b w:val="false"/>
          <w:bCs w:val="false"/>
          <w:i w:val="false"/>
          <w:iCs w:val="false"/>
          <w:color w:val="262626"/>
          <w:sz w:val="22"/>
          <w:szCs w:val="22"/>
        </w:rPr>
        <w:t xml:space="preserve">Il convient de préciser un point de vocabulaire : l'opération que les frameworks de deep learning désignent par « convolution » est, au sens strict du traitement du signal, une corrélation croisée — le noyau n'est pas retourné (flip) avant son application à l'image, contrairement à la convolution mathématique classique. C'est cette opération de corrélation croisée qui a été implémentée et vérifiée dans ce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def corr2d_manual(X, K):</w:t>
            </w:r>
          </w:p>
          <w:p>
            <w:pPr>
              <w:spacing w:after="0"/>
            </w:pPr>
            <w:r>
              <w:rPr>
                <w:rFonts w:ascii="Consolas" w:cs="Consolas" w:eastAsia="Consolas" w:hAnsi="Consolas"/>
                <w:color w:val="1A1A1A"/>
                <w:sz w:val="18"/>
                <w:szCs w:val="18"/>
              </w:rPr>
              <w:t xml:space="preserve">    h, w = X.shape; kh, kw = K.shape</w:t>
            </w:r>
          </w:p>
          <w:p>
            <w:pPr>
              <w:spacing w:after="0"/>
            </w:pPr>
            <w:r>
              <w:rPr>
                <w:rFonts w:ascii="Consolas" w:cs="Consolas" w:eastAsia="Consolas" w:hAnsi="Consolas"/>
                <w:color w:val="1A1A1A"/>
                <w:sz w:val="18"/>
                <w:szCs w:val="18"/>
              </w:rPr>
              <w:t xml:space="preserve">    out_h, out_w = h - kh + 1, w - kw + 1</w:t>
            </w:r>
          </w:p>
          <w:p>
            <w:pPr>
              <w:spacing w:after="0"/>
            </w:pPr>
            <w:r>
              <w:rPr>
                <w:rFonts w:ascii="Consolas" w:cs="Consolas" w:eastAsia="Consolas" w:hAnsi="Consolas"/>
                <w:color w:val="1A1A1A"/>
                <w:sz w:val="18"/>
                <w:szCs w:val="18"/>
              </w:rPr>
              <w:t xml:space="preserve">    Y = torch.zeros((out_h, out_w))</w:t>
            </w:r>
          </w:p>
          <w:p>
            <w:pPr>
              <w:spacing w:after="0"/>
            </w:pPr>
            <w:r>
              <w:rPr>
                <w:rFonts w:ascii="Consolas" w:cs="Consolas" w:eastAsia="Consolas" w:hAnsi="Consolas"/>
                <w:color w:val="1A1A1A"/>
                <w:sz w:val="18"/>
                <w:szCs w:val="18"/>
              </w:rPr>
              <w:t xml:space="preserve">    for i in range(out_h):</w:t>
            </w:r>
          </w:p>
          <w:p>
            <w:pPr>
              <w:spacing w:after="0"/>
            </w:pPr>
            <w:r>
              <w:rPr>
                <w:rFonts w:ascii="Consolas" w:cs="Consolas" w:eastAsia="Consolas" w:hAnsi="Consolas"/>
                <w:color w:val="1A1A1A"/>
                <w:sz w:val="18"/>
                <w:szCs w:val="18"/>
              </w:rPr>
              <w:t xml:space="preserve">        for j in range(out_w):</w:t>
            </w:r>
          </w:p>
          <w:p>
            <w:pPr>
              <w:spacing w:after="0"/>
            </w:pPr>
            <w:r>
              <w:rPr>
                <w:rFonts w:ascii="Consolas" w:cs="Consolas" w:eastAsia="Consolas" w:hAnsi="Consolas"/>
                <w:color w:val="1A1A1A"/>
                <w:sz w:val="18"/>
                <w:szCs w:val="18"/>
              </w:rPr>
              <w:t xml:space="preserve">            Y[i, j] = (X[i:i+kh, j:j+kw] * K).sum()</w:t>
            </w:r>
          </w:p>
          <w:p>
            <w:pPr>
              <w:spacing w:after="0"/>
            </w:pPr>
            <w:r>
              <w:rPr>
                <w:rFonts w:ascii="Consolas" w:cs="Consolas" w:eastAsia="Consolas" w:hAnsi="Consolas"/>
                <w:color w:val="1A1A1A"/>
                <w:sz w:val="18"/>
                <w:szCs w:val="18"/>
              </w:rPr>
              <w:t xml:space="preserve">    return Y</w:t>
            </w:r>
          </w:p>
        </w:tc>
      </w:tr>
    </w:tbl>
    <w:p>
      <w:pPr>
        <w:pStyle w:val="Heading2"/>
      </w:pPr>
      <w:r>
        <w:t xml:space="preserve">3.3 Architecture CNN (variante de LeNet)</w:t>
      </w:r>
    </w:p>
    <w:p>
      <w:pPr>
        <w:spacing w:after="160" w:line="300"/>
        <w:jc w:val="both"/>
      </w:pPr>
      <w:r>
        <w:rPr>
          <w:b w:val="false"/>
          <w:bCs w:val="false"/>
          <w:i w:val="false"/>
          <w:iCs w:val="false"/>
          <w:color w:val="262626"/>
          <w:sz w:val="22"/>
          <w:szCs w:val="22"/>
        </w:rPr>
        <w:t xml:space="preserve">L'architecture retenue s'inspire de LeNet-5, avec trois améliorations modernes : l'usage de ReLU plutôt que tanh/sigmoïde pour des gradients plus stables, l'ajout de BatchNorm après chaque convolution pour stabiliser l'entraînement, et un Dropout avant la couche de sortie pour la régularisation. Une convolution 1×1 optionnelle a été intégrée comme hyperparamètre étudié (voir section 3.4) : cette opération ne modifie pas les dimensions spatiales (hauteur, largeur) mais recombine linéairement l'information entre canaux, à un coût de calcul minimal.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5F5F5" w:val="clear"/>
            <w:tcMar>
              <w:top w:type="dxa" w:w="120"/>
              <w:left w:type="dxa" w:w="160"/>
              <w:bottom w:type="dxa" w:w="120"/>
              <w:right w:type="dxa" w:w="160"/>
            </w:tcMar>
          </w:tcPr>
          <w:p>
            <w:pPr>
              <w:spacing w:after="0"/>
            </w:pPr>
            <w:r>
              <w:rPr>
                <w:rFonts w:ascii="Consolas" w:cs="Consolas" w:eastAsia="Consolas" w:hAnsi="Consolas"/>
                <w:color w:val="1A1A1A"/>
                <w:sz w:val="18"/>
                <w:szCs w:val="18"/>
              </w:rPr>
              <w:t xml:space="preserve">class LeNetVariant(nn.Module):</w:t>
            </w:r>
          </w:p>
          <w:p>
            <w:pPr>
              <w:spacing w:after="0"/>
            </w:pPr>
            <w:r>
              <w:rPr>
                <w:rFonts w:ascii="Consolas" w:cs="Consolas" w:eastAsia="Consolas" w:hAnsi="Consolas"/>
                <w:color w:val="1A1A1A"/>
                <w:sz w:val="18"/>
                <w:szCs w:val="18"/>
              </w:rPr>
              <w:t xml:space="preserve">    def __init__(self, num_filters1=6, num_filters2=16,</w:t>
            </w:r>
          </w:p>
          <w:p>
            <w:pPr>
              <w:spacing w:after="0"/>
            </w:pPr>
            <w:r>
              <w:rPr>
                <w:rFonts w:ascii="Consolas" w:cs="Consolas" w:eastAsia="Consolas" w:hAnsi="Consolas"/>
                <w:color w:val="1A1A1A"/>
                <w:sz w:val="18"/>
                <w:szCs w:val="18"/>
              </w:rPr>
              <w:t xml:space="preserve">                 padding=2, pool_type='max', use_1x1=False):</w:t>
            </w:r>
          </w:p>
          <w:p>
            <w:pPr>
              <w:spacing w:after="0"/>
            </w:pPr>
            <w:r>
              <w:rPr>
                <w:rFonts w:ascii="Consolas" w:cs="Consolas" w:eastAsia="Consolas" w:hAnsi="Consolas"/>
                <w:color w:val="1A1A1A"/>
                <w:sz w:val="18"/>
                <w:szCs w:val="18"/>
              </w:rPr>
              <w:t xml:space="preserve">        super().__init__()</w:t>
            </w:r>
          </w:p>
          <w:p>
            <w:pPr>
              <w:spacing w:after="0"/>
            </w:pPr>
            <w:r>
              <w:rPr>
                <w:rFonts w:ascii="Consolas" w:cs="Consolas" w:eastAsia="Consolas" w:hAnsi="Consolas"/>
                <w:color w:val="1A1A1A"/>
                <w:sz w:val="18"/>
                <w:szCs w:val="18"/>
              </w:rPr>
              <w:t xml:space="preserve">        self.conv1 = nn.Conv2d(1, num_filters1, kernel_size=5, padding=padding)</w:t>
            </w:r>
          </w:p>
          <w:p>
            <w:pPr>
              <w:spacing w:after="0"/>
            </w:pPr>
            <w:r>
              <w:rPr>
                <w:rFonts w:ascii="Consolas" w:cs="Consolas" w:eastAsia="Consolas" w:hAnsi="Consolas"/>
                <w:color w:val="1A1A1A"/>
                <w:sz w:val="18"/>
                <w:szCs w:val="18"/>
              </w:rPr>
              <w:t xml:space="preserve">        self.bn1   = nn.BatchNorm2d(num_filters1)</w:t>
            </w:r>
          </w:p>
          <w:p>
            <w:pPr>
              <w:spacing w:after="0"/>
            </w:pPr>
            <w:r>
              <w:rPr>
                <w:rFonts w:ascii="Consolas" w:cs="Consolas" w:eastAsia="Consolas" w:hAnsi="Consolas"/>
                <w:color w:val="1A1A1A"/>
                <w:sz w:val="18"/>
                <w:szCs w:val="18"/>
              </w:rPr>
              <w:t xml:space="preserve">        self.pool1 = nn.MaxPool2d(2,2) if pool_type=='max' else nn.AvgPool2d(2,2)</w:t>
            </w:r>
          </w:p>
          <w:p>
            <w:pPr>
              <w:spacing w:after="0"/>
            </w:pPr>
            <w:r>
              <w:rPr>
                <w:rFonts w:ascii="Consolas" w:cs="Consolas" w:eastAsia="Consolas" w:hAnsi="Consolas"/>
                <w:color w:val="1A1A1A"/>
                <w:sz w:val="18"/>
                <w:szCs w:val="18"/>
              </w:rPr>
              <w:t xml:space="preserve">        self.conv2 = nn.Conv2d(num_filters1, num_filters2, kernel_size=5, padding=padding)</w:t>
            </w:r>
          </w:p>
          <w:p>
            <w:pPr>
              <w:spacing w:after="0"/>
            </w:pPr>
            <w:r>
              <w:rPr>
                <w:rFonts w:ascii="Consolas" w:cs="Consolas" w:eastAsia="Consolas" w:hAnsi="Consolas"/>
                <w:color w:val="1A1A1A"/>
                <w:sz w:val="18"/>
                <w:szCs w:val="18"/>
              </w:rPr>
              <w:t xml:space="preserve">        self.bn2   = nn.BatchNorm2d(num_filters2)</w:t>
            </w:r>
          </w:p>
          <w:p>
            <w:pPr>
              <w:spacing w:after="0"/>
            </w:pPr>
            <w:r>
              <w:rPr>
                <w:rFonts w:ascii="Consolas" w:cs="Consolas" w:eastAsia="Consolas" w:hAnsi="Consolas"/>
                <w:color w:val="1A1A1A"/>
                <w:sz w:val="18"/>
                <w:szCs w:val="18"/>
              </w:rPr>
              <w:t xml:space="preserve">        # ... couches fully-connected + dropout (voir Partie2_CNN.py)</w:t>
            </w:r>
          </w:p>
        </w:tc>
      </w:tr>
    </w:tbl>
    <w:p>
      <w:pPr>
        <w:pStyle w:val="Heading2"/>
      </w:pPr>
      <w:r>
        <w:t xml:space="preserve">3.4 Étude expérimentale et résultats</w:t>
      </w:r>
    </w:p>
    <w:p>
      <w:pPr>
        <w:pStyle w:val="Heading3"/>
      </w:pPr>
      <w:r>
        <w:t xml:space="preserve">3.4.1 Comparaison MLP simple vs CNN</w:t>
      </w:r>
    </w:p>
    <w:p>
      <w:pPr>
        <w:spacing w:after="160" w:line="300"/>
        <w:jc w:val="both"/>
      </w:pPr>
      <w:r>
        <w:rPr>
          <w:b w:val="false"/>
          <w:bCs w:val="false"/>
          <w:i w:val="false"/>
          <w:iCs w:val="false"/>
          <w:color w:val="262626"/>
          <w:sz w:val="22"/>
          <w:szCs w:val="22"/>
        </w:rPr>
        <w:t xml:space="preserve">Un MLP simple (deux couches cachées, appliqué à l'image aplatie en un vecteur de 784 valeurs) a été comparé au CNN décrit en section 3.3, sur le même découpage du dataset Fashion-MNIST et le même protocole d'entraînement. La figure ci-dessous présente l'évolution de l'accuracy et de la loss de validation au fil des epochs pour les deux modèles :</w:t>
      </w:r>
    </w:p>
    <w:p>
      <w:pPr>
        <w:spacing w:after="60" w:before="160"/>
        <w:jc w:val="center"/>
      </w:pPr>
      <w:r>
        <w:drawing>
          <wp:inline distT="0" distB="0" distL="0" distR="0">
            <wp:extent cx="5076825"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76825" cy="1828800"/>
                    </a:xfrm>
                    <a:prstGeom prst="rect">
                      <a:avLst/>
                    </a:prstGeom>
                  </pic:spPr>
                </pic:pic>
              </a:graphicData>
            </a:graphic>
          </wp:inline>
        </w:drawing>
      </w:r>
    </w:p>
    <w:p>
      <w:pPr>
        <w:spacing w:after="200"/>
        <w:jc w:val="center"/>
      </w:pPr>
      <w:r>
        <w:rPr>
          <w:i/>
          <w:iCs/>
          <w:color w:val="595959"/>
          <w:sz w:val="19"/>
          <w:szCs w:val="19"/>
        </w:rPr>
        <w:t xml:space="preserve">Figure 3 — Comparaison de la validation accuracy et de la validation loss entre MLP simple et CNN, sur Fashion-MNIST.</w:t>
      </w:r>
    </w:p>
    <w:p>
      <w:pPr>
        <w:spacing w:after="160" w:line="300"/>
        <w:jc w:val="both"/>
      </w:pPr>
      <w:r>
        <w:rPr>
          <w:b w:val="false"/>
          <w:bCs w:val="false"/>
          <w:i w:val="false"/>
          <w:iCs w:val="false"/>
          <w:color w:val="262626"/>
          <w:sz w:val="22"/>
          <w:szCs w:val="22"/>
        </w:rPr>
        <w:t xml:space="preserve">Le CNN atteint une accuracy de validation supérieure dès la première epoch (0,883 contre 0,843 pour le MLP) et conserve cet avantage tout au long de l'entraînement, se stabilisant autour de 0,915-0,920 contre 0,885-0,890 pour le MLP à partir de l'epoch 10 environ — un écart constant d'environ 3 points de pourcentage en faveur du CNN. De manière symétrique, la loss de validation du CNN reste systématiquement inférieure à celle du MLP sur l'ensemble de l'entraînement (convergeant vers environ 0,23-0,25 contre 0,31-0,32 pour le MLP), confirmant que l'écart d'accuracy ne résulte pas d'un simple effet de seuil de décision mais d'une distribution de probabilités prédites globalement mieux calibrée par le CNN.</w:t>
      </w:r>
    </w:p>
    <w:p>
      <w:pPr>
        <w:spacing w:after="160" w:line="300"/>
        <w:jc w:val="both"/>
      </w:pPr>
      <w:r>
        <w:rPr>
          <w:b w:val="false"/>
          <w:bCs w:val="false"/>
          <w:i w:val="false"/>
          <w:iCs w:val="false"/>
          <w:color w:val="262626"/>
          <w:sz w:val="22"/>
          <w:szCs w:val="22"/>
        </w:rPr>
        <w:t xml:space="preserve">On observe également que les deux courbes de validation accuracy présentent des oscillations (« dents de scie ») d'amplitude comparable, suggérant une sensibilité similaire des deux modèles au choix du mini-lot à chaque epoch — ce qui est attendu, la taille du batch et le taux d'apprentissage étant identiques dans les deux protocoles.</w:t>
      </w:r>
    </w:p>
    <w:p>
      <w:pPr>
        <w:pStyle w:val="Heading3"/>
      </w:pPr>
      <w:r>
        <w:t xml:space="preserve">3.4.2 Visualisation des cartes de caractéristiques</w:t>
      </w:r>
    </w:p>
    <w:p>
      <w:pPr>
        <w:spacing w:after="60" w:before="160"/>
        <w:jc w:val="center"/>
      </w:pPr>
      <w:r>
        <w:drawing>
          <wp:inline distT="0" distB="0" distL="0" distR="0">
            <wp:extent cx="5076825"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76825" cy="952500"/>
                    </a:xfrm>
                    <a:prstGeom prst="rect">
                      <a:avLst/>
                    </a:prstGeom>
                  </pic:spPr>
                </pic:pic>
              </a:graphicData>
            </a:graphic>
          </wp:inline>
        </w:drawing>
      </w:r>
    </w:p>
    <w:p>
      <w:pPr>
        <w:spacing w:after="200"/>
        <w:jc w:val="center"/>
      </w:pPr>
      <w:r>
        <w:rPr>
          <w:i/>
          <w:iCs/>
          <w:color w:val="595959"/>
          <w:sz w:val="19"/>
          <w:szCs w:val="19"/>
        </w:rPr>
        <w:t xml:space="preserve">Figure 4 — Cartes de caractéristiques (feature maps) des 6 premiers filtres de la première couche convolutive, pour une image test de classe « Ankle boot ».</w:t>
      </w:r>
    </w:p>
    <w:p>
      <w:pPr>
        <w:spacing w:after="160" w:line="300"/>
        <w:jc w:val="both"/>
      </w:pPr>
      <w:r>
        <w:rPr>
          <w:b w:val="false"/>
          <w:bCs w:val="false"/>
          <w:i w:val="false"/>
          <w:iCs w:val="false"/>
          <w:color w:val="262626"/>
          <w:sz w:val="22"/>
          <w:szCs w:val="22"/>
        </w:rPr>
        <w:t xml:space="preserve">Les cartes de caractéristiques (feature maps) produites par les six premiers filtres de la première couche convolutive ont été visualisées pour une image test représentant une bottine (« Ankle boot »). Plusieurs filtres (notamment les filtres #0, #1, #2 et #3) font apparaître nettement les contours de l'objet — silhouette générale de la chaussure, ligne de la semelle, jonction entre la tige et la semelle — confirmant empiriquement l'argument théorique selon lequel les premières couches convolutives d'un CNN apprennent à détecter des motifs élémentaires de type contours et transitions d'intensité, plutôt que des caractéristiques sémantiquement abstraites.</w:t>
      </w:r>
    </w:p>
    <w:p>
      <w:pPr>
        <w:spacing w:after="160" w:line="300"/>
        <w:jc w:val="both"/>
      </w:pPr>
      <w:r>
        <w:rPr>
          <w:b w:val="false"/>
          <w:bCs w:val="false"/>
          <w:i w:val="false"/>
          <w:iCs w:val="false"/>
          <w:color w:val="262626"/>
          <w:sz w:val="22"/>
          <w:szCs w:val="22"/>
        </w:rPr>
        <w:t xml:space="preserve">Le filtre #4 se distingue des autres par une réponse quasi binaire occupant la moitié supérieure de l'image (zone de fond) par opposition à la moitié inférieure (zone de l'objet), suggérant que ce filtre encode davantage une séparation globale figure/fond qu'un contour local précis — illustrant la diversité des motifs appris en parallèle par les différents filtres d'une même couche convolutive, même à un stade aussi précoce du réseau.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33C" w:sz="4"/>
              <w:left w:val="single" w:color="E0B33C" w:sz="16"/>
              <w:bottom w:val="single" w:color="E0B33C" w:sz="4"/>
              <w:right w:val="single" w:color="E0B33C" w:sz="4"/>
            </w:tcBorders>
            <w:shd w:fill="FFF6E0" w:val="clear"/>
            <w:tcMar>
              <w:top w:type="dxa" w:w="120"/>
              <w:left w:type="dxa" w:w="200"/>
              <w:bottom w:type="dxa" w:w="120"/>
              <w:right w:type="dxa" w:w="200"/>
            </w:tcMar>
          </w:tcPr>
          <w:p>
            <w:r>
              <w:rPr>
                <w:b/>
                <w:bCs/>
                <w:color w:val="8A6D1D"/>
                <w:sz w:val="20"/>
                <w:szCs w:val="20"/>
              </w:rPr>
              <w:t xml:space="preserve">SECTION RESTANT À COMPLÉTER</w:t>
            </w:r>
          </w:p>
          <w:p>
            <w:pPr>
              <w:spacing w:before="80"/>
            </w:pPr>
            <w:r>
              <w:rPr>
                <w:color w:val="262626"/>
                <w:sz w:val="20"/>
                <w:szCs w:val="20"/>
              </w:rPr>
              <w:t xml:space="preserve">Les éléments suivants restent à intégrer une fois disponibles : (1) le tableau comparatif complet des 5 configurations architecturales testées (padding, average vs max pooling, nombre de filtres, présence d'une convolution 1×1) avec val_accuracy, nombre de paramètres et temps d'entraînement (fichier tableau_comparatif_architectures.csv) ; (2) les métriques finales détaillées du meilleur CNN sur le test set (accuracy, precision, recall, F1-macro) et sa matrice de confusion complète (10 classes) ; (3) le tableau récapitulatif final MLP vs CNN avec accuracy de test, F1-macro et nombre de paramètres pour chaque modèle (actuellement seules les courbes de validation par epoch sont disponibles, section 3.4.1).</w:t>
            </w:r>
          </w:p>
        </w:tc>
      </w:tr>
    </w:tbl>
    <w:p>
      <w:pPr>
        <w:pStyle w:val="Heading2"/>
      </w:pPr>
      <w:r>
        <w:t xml:space="preserve">3.5 Analyse critique</w:t>
      </w:r>
    </w:p>
    <w:p>
      <w:pPr>
        <w:spacing w:after="160" w:line="300"/>
        <w:jc w:val="both"/>
      </w:pPr>
      <w:r>
        <w:rPr>
          <w:b w:val="false"/>
          <w:bCs w:val="false"/>
          <w:i w:val="false"/>
          <w:iCs w:val="false"/>
          <w:color w:val="262626"/>
          <w:sz w:val="22"/>
          <w:szCs w:val="22"/>
        </w:rPr>
        <w:t xml:space="preserve">L'écart de performance observé entre MLP et CNN (environ 3 points d'accuracy en faveur du CNN, avec une loss de validation inférieure d'environ 0,07-0,08 point) constitue une confirmation empirique directe des arguments théoriques développés en section 3.1.1. Le CNN, en exploitant la localité spatiale et le partage des poids, parvient à extraire des caractéristiques visuelles pertinentes (contours, silhouette, cf. section 3.4.2) avec une efficacité statistique supérieure à celle d'un MLP qui doit, lui, apprendre ces mêmes régularités à partir de connexions denses sans aucune contrainte structurelle a priori, donc avec une efficacité d'apprentissage par échantillon strictement inférieure.</w:t>
      </w:r>
    </w:p>
    <w:p>
      <w:pPr>
        <w:spacing w:after="160" w:line="300"/>
        <w:jc w:val="both"/>
      </w:pPr>
      <w:r>
        <w:rPr>
          <w:b w:val="false"/>
          <w:bCs w:val="false"/>
          <w:i w:val="false"/>
          <w:iCs w:val="false"/>
          <w:color w:val="262626"/>
          <w:sz w:val="22"/>
          <w:szCs w:val="22"/>
        </w:rPr>
        <w:t xml:space="preserve">L'avantage du CNN, déjà net dès la première epoch (0,883 contre 0,843), suggère par ailleurs que cet écart n'est pas uniquement un effet de meilleure convergence à terme, mais reflète une différence de biais inductif favorable dès les premières itérations d'apprentissage — cohérent avec l'idée que le CNN n'a pas à « découvrir » la pertinence de la structure spatiale, celle-ci étant câblée dans son architecture même.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33C" w:sz="4"/>
              <w:left w:val="single" w:color="E0B33C" w:sz="16"/>
              <w:bottom w:val="single" w:color="E0B33C" w:sz="4"/>
              <w:right w:val="single" w:color="E0B33C" w:sz="4"/>
            </w:tcBorders>
            <w:shd w:fill="FFF6E0" w:val="clear"/>
            <w:tcMar>
              <w:top w:type="dxa" w:w="120"/>
              <w:left w:type="dxa" w:w="200"/>
              <w:bottom w:type="dxa" w:w="120"/>
              <w:right w:type="dxa" w:w="200"/>
            </w:tcMar>
          </w:tcPr>
          <w:p>
            <w:r>
              <w:rPr>
                <w:b/>
                <w:bCs/>
                <w:color w:val="8A6D1D"/>
                <w:sz w:val="20"/>
                <w:szCs w:val="20"/>
              </w:rPr>
              <w:t xml:space="preserve">À COMPLÉTER</w:t>
            </w:r>
          </w:p>
          <w:p>
            <w:pPr>
              <w:spacing w:before="80"/>
            </w:pPr>
            <w:r>
              <w:rPr>
                <w:color w:val="262626"/>
                <w:sz w:val="20"/>
                <w:szCs w:val="20"/>
              </w:rPr>
              <w:t xml:space="preserve">Compléter cette analyse critique avec : l'effet comparé du padding, du max- vs average-pooling, du nombre de filtres et de la convolution 1×1 une fois le tableau comparatif des 5 configurations disponible (section 3.4.1, données manquantes).</w:t>
            </w:r>
          </w:p>
        </w:tc>
      </w:tr>
    </w:tbl>
    <w:p>
      <w:pPr>
        <w:pStyle w:val="Heading2"/>
      </w:pPr>
      <w:r>
        <w:t xml:space="preserve">3.6 Question de synthèse — Partie II</w:t>
      </w:r>
    </w:p>
    <w:p>
      <w:pPr>
        <w:spacing w:after="120" w:before="120"/>
      </w:pPr>
      <w:r>
        <w:rPr>
          <w:i/>
          <w:iCs/>
          <w:sz w:val="22"/>
          <w:szCs w:val="22"/>
        </w:rPr>
        <w:t xml:space="preserve">Pourquoi un CNN est-il plus pertinent qu'un MLP pour une tâche de classification d'images sur un dataset réel, et comment les choix de padding, stride, pooling et profondeur influencent-ils réellement les performances du modèle ?</w:t>
      </w:r>
    </w:p>
    <w:p>
      <w:pPr>
        <w:spacing w:after="160" w:line="300"/>
        <w:jc w:val="both"/>
      </w:pPr>
      <w:r>
        <w:rPr>
          <w:b w:val="false"/>
          <w:bCs w:val="false"/>
          <w:i w:val="false"/>
          <w:iCs w:val="false"/>
          <w:color w:val="262626"/>
          <w:sz w:val="22"/>
          <w:szCs w:val="22"/>
        </w:rPr>
        <w:t xml:space="preserve">La pertinence supérieure du CNN sur des données image découle directement des trois principes exposés en section 3.1.1 : la localité, qui concentre la capacité du modèle sur les motifs visuels effectivement informatifs (contours, textures locales) plutôt que sur des connexions denses peu pertinentes ; le partage des poids, qui réduit drastiquement le nombre de paramètres à apprendre par rapport à un MLP de capacité comparable, tout en conférant une invariance par translation ; et la hiérarchie des représentations, qui permet au réseau de construire progressivement, couche après couche, des caractéristiques de complexité croissante, des bords élémentaires jusqu'aux formes composées.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33C" w:sz="4"/>
              <w:left w:val="single" w:color="E0B33C" w:sz="16"/>
              <w:bottom w:val="single" w:color="E0B33C" w:sz="4"/>
              <w:right w:val="single" w:color="E0B33C" w:sz="4"/>
            </w:tcBorders>
            <w:shd w:fill="FFF6E0" w:val="clear"/>
            <w:tcMar>
              <w:top w:type="dxa" w:w="120"/>
              <w:left w:type="dxa" w:w="200"/>
              <w:bottom w:type="dxa" w:w="120"/>
              <w:right w:type="dxa" w:w="200"/>
            </w:tcMar>
          </w:tcPr>
          <w:p>
            <w:r>
              <w:rPr>
                <w:b/>
                <w:bCs/>
                <w:color w:val="8A6D1D"/>
                <w:sz w:val="20"/>
                <w:szCs w:val="20"/>
              </w:rPr>
              <w:t xml:space="preserve">Résultats expérimentaux à l'appui</w:t>
            </w:r>
          </w:p>
          <w:p>
            <w:pPr>
              <w:spacing w:before="80"/>
            </w:pPr>
            <w:r>
              <w:rPr>
                <w:color w:val="262626"/>
                <w:sz w:val="20"/>
                <w:szCs w:val="20"/>
              </w:rPr>
              <w:t xml:space="preserve">La comparaison expérimentale menée en section 3.4.1 confirme directement cet argument théorique : le CNN atteint une accuracy de validation supérieure d'environ 3 points de pourcentage au MLP simple dès la première epoch (0,883 contre 0,843) et tout au long de l'entraînement (stabilisation autour de 0,915-0,920 contre 0,885-0,890), avec une loss de validation systématiquement inférieure (environ 0,23-0,25 contre 0,31-0,32). Cet écart, déjà net en tout début d'entraînement, illustre concrètement comment le biais inductif spatial du CNN se traduit par un avantage d'efficacité d'apprentissage par échantillon, et non uniquement par une meilleure performance asymptotique.</w:t>
            </w:r>
          </w:p>
        </w:tc>
      </w:tr>
    </w:tbl>
    <w:p>
      <w:pPr>
        <w:spacing w:after="160" w:line="300"/>
        <w:jc w:val="both"/>
      </w:pPr>
      <w:r>
        <w:rPr>
          <w:b w:val="false"/>
          <w:bCs w:val="false"/>
          <w:i w:val="false"/>
          <w:iCs w:val="false"/>
          <w:color w:val="262626"/>
          <w:sz w:val="22"/>
          <w:szCs w:val="22"/>
        </w:rPr>
        <w:t xml:space="preserve">Le padding influence la taille spatiale conservée à chaque couche et donc le nombre de couches convolutives qu'il est possible d'empiler avant que les dimensions ne deviennent trop réduites ; un padding « same » permet de préserver les dimensions d'entrée pour faciliter la conception d'architectures profondes. Le stride contrôle la sous-résolution spatiale opérée par la convolution elle-même, jouant un rôle proche de celui du pooling mais directement intégré à la convolution. Le pooling, qu'il soit de type max ou moyenne, réduit la dimensionnalité spatiale tout en introduisant une forme d'invariance aux petites translations locales, au prix d'une perte d'information de localisation fine. Enfin, la profondeur du réseau (nombre de couches convolutives empilées) conditionne directement la taille du champ réceptif effectif, et donc la complexité des motifs que le réseau est susceptible de représenter — un compromis devant néanmoins être mis en balance avec le risque de sur-apprentissage et le coût de calcul, particulièrement sensible sur un dataset de taille modeste comme Fashion-MNIST.</w:t>
      </w:r>
    </w:p>
    <w:p>
      <w:r>
        <w:br w:type="page"/>
      </w:r>
    </w:p>
    <w:p>
      <w:pPr>
        <w:pStyle w:val="Heading1"/>
      </w:pPr>
      <w:r>
        <w:t xml:space="preserve">4. Partie III — RNN, LSTM, GRU et Seq2Seq</w:t>
      </w:r>
    </w:p>
    <w:p>
      <w:pPr>
        <w:pStyle w:val="Heading2"/>
      </w:pPr>
      <w:r>
        <w:t xml:space="preserve">4.1 Présentation théorique</w:t>
      </w:r>
    </w:p>
    <w:p>
      <w:pPr>
        <w:pStyle w:val="Heading3"/>
      </w:pPr>
      <w:r>
        <w:t xml:space="preserve">4.1.1 Modélisation probabiliste des séquences</w:t>
      </w:r>
    </w:p>
    <w:p>
      <w:pPr>
        <w:spacing w:after="160" w:line="300"/>
        <w:jc w:val="both"/>
      </w:pPr>
      <w:r>
        <w:rPr>
          <w:b w:val="false"/>
          <w:bCs w:val="false"/>
          <w:i w:val="false"/>
          <w:iCs w:val="false"/>
          <w:color w:val="262626"/>
          <w:sz w:val="22"/>
          <w:szCs w:val="22"/>
        </w:rPr>
        <w:t xml:space="preserve">Un modèle de langage cherche à estimer la probabilité d'une séquence de tokens (w₁, w₂, …, w_T). Par la règle de dérivation en chaîne des probabilités, cette probabilité jointe se factorise comme un produit de probabilités conditionnelles : P(w₁,…,w_T) = P(w₁) × P(w₂|w₁) × … × P(w_T|w₁,…,w_{T-1}). Un réseau récurrent approche chaque facteur P(w_t | w₁,…,w_{t-1}) en résumant l'historique dans un état caché h_t, mis à jour séquentiellement.</w:t>
      </w:r>
    </w:p>
    <w:p>
      <w:pPr>
        <w:spacing w:after="160" w:line="300"/>
        <w:jc w:val="both"/>
      </w:pPr>
      <w:r>
        <w:rPr>
          <w:b w:val="false"/>
          <w:bCs w:val="false"/>
          <w:i w:val="false"/>
          <w:iCs w:val="false"/>
          <w:color w:val="262626"/>
          <w:sz w:val="22"/>
          <w:szCs w:val="22"/>
        </w:rPr>
        <w:t xml:space="preserve">Pour une tâche de classification de séquence (le cas de la classification de sentiment sur IMDb traitée dans ce projet), le réseau récurrent n'est pas utilisé pour modéliser la distribution du prochain mot, mais comme encodeur de séquence : son état caché final résume l'ensemble de la séquence en un vecteur de taille fixe, ensuite projeté vers les classes cibles par une couche linéaire.</w:t>
      </w:r>
    </w:p>
    <w:p>
      <w:pPr>
        <w:spacing w:after="160" w:line="300"/>
        <w:jc w:val="both"/>
      </w:pPr>
      <w:r>
        <w:rPr>
          <w:b w:val="false"/>
          <w:bCs w:val="false"/>
          <w:i w:val="false"/>
          <w:iCs w:val="false"/>
          <w:color w:val="262626"/>
          <w:sz w:val="22"/>
          <w:szCs w:val="22"/>
        </w:rPr>
        <w:t xml:space="preserve">La perplexité, définie comme PP = exp(loss d'entropie croisée), mesure le nombre moyen de choix « équiprobables » parmi lesquels le modèle hésite à chaque position d'une séquence ; plus elle est faible, plus le modèle est à la fois confiant et correct. Cette métrique est l'évaluation standard d'un modèle de langage (prédiction du prochain token) ; elle est utilisée dans ce rapport pour la tâche de traduction (section 4.7), et non pour la classification de sentiment, pour laquelle l'accuracy et le F1-score sont plus pertinents.</w:t>
      </w:r>
    </w:p>
    <w:p>
      <w:pPr>
        <w:pStyle w:val="Heading3"/>
      </w:pPr>
      <w:r>
        <w:t xml:space="preserve">4.1.2 RNN, LSTM, GRU : formulation et comparaison</w:t>
      </w:r>
    </w:p>
    <w:p>
      <w:pPr>
        <w:spacing w:after="160" w:line="300"/>
        <w:jc w:val="both"/>
      </w:pPr>
      <w:r>
        <w:rPr>
          <w:b w:val="false"/>
          <w:bCs w:val="false"/>
          <w:i w:val="false"/>
          <w:iCs w:val="false"/>
          <w:color w:val="262626"/>
          <w:sz w:val="22"/>
          <w:szCs w:val="22"/>
        </w:rPr>
        <w:t xml:space="preserve">Le RNN simple met à jour son état caché par une transformation non linéaire de l'état précédent et de l'entrée courante. Cette architecture est sujette, sur des séquences longues, au phénomène de vanishing ou exploding gradient lors de la rétropropagation à travers le temps (BPTT) : le gradient, propagé à rebours sur toute la longueur de la séquence, résulte d'un produit répété de Jacobiennes susceptible de tendre vers zéro ou de diverger.</w:t>
      </w:r>
    </w:p>
    <w:p>
      <w:pPr>
        <w:spacing w:after="160" w:line="300"/>
        <w:jc w:val="both"/>
      </w:pPr>
      <w:r>
        <w:rPr>
          <w:b w:val="false"/>
          <w:bCs w:val="false"/>
          <w:i w:val="false"/>
          <w:iCs w:val="false"/>
          <w:color w:val="262626"/>
          <w:sz w:val="22"/>
          <w:szCs w:val="22"/>
        </w:rPr>
        <w:t xml:space="preserve">Les architectures LSTM et GRU répondent à cette limite par l'introduction de mécanismes de portes (gates), qui régulent explicitement le flux d'information conservé, oublié ou ajouté à l'état interne. Le LSTM maintient une cellule mémoire distincte de l'état caché, contrôlée par trois portes (oubli, entrée, sortie). Le GRU constitue une simplification du LSTM, fusionnant la cellule mémoire et l'état caché et ne comportant que deux portes (mise à jour et réinitialisation), ce qui réduit le nombre de paramètres et le coût de calcul, au prix d'une expressivité théoriquement légèrement inférieure.</w:t>
      </w:r>
    </w:p>
    <w:p>
      <w:pPr>
        <w:pStyle w:val="Heading3"/>
      </w:pPr>
      <w:r>
        <w:t xml:space="preserve">4.1.3 Rétropropagation à travers le temps et gradient clipping</w:t>
      </w:r>
    </w:p>
    <w:p>
      <w:pPr>
        <w:spacing w:after="160" w:line="300"/>
        <w:jc w:val="both"/>
      </w:pPr>
      <w:r>
        <w:rPr>
          <w:b w:val="false"/>
          <w:bCs w:val="false"/>
          <w:i w:val="false"/>
          <w:iCs w:val="false"/>
          <w:color w:val="262626"/>
          <w:sz w:val="22"/>
          <w:szCs w:val="22"/>
        </w:rPr>
        <w:t xml:space="preserve">La rétropropagation à travers le temps (BPTT) consiste à déplier le réseau récurrent sur toute la longueur de la séquence traitée, puis à appliquer la règle de dérivation en chaîne sur cette profondeur effective. Le gradient clipping consiste à limiter la norme du gradient total avant la mise à jour des paramètres : si cette norme dépasse un seuil fixé, le gradient est redimensionné selon g ← g × min(1, seuil / ‖g‖), ce qui borne l'amplitude du pas d'optimisation sans en modifier la direction, stabilisant ainsi l'entraînement sans fausser la trajectoire d'optimisation.</w:t>
      </w:r>
    </w:p>
    <w:p>
      <w:pPr>
        <w:pStyle w:val="Heading2"/>
      </w:pPr>
      <w:r>
        <w:t xml:space="preserve">4.2 Préparation des données (IMDb)</w:t>
      </w:r>
    </w:p>
    <w:p>
      <w:pPr>
        <w:spacing w:after="160" w:line="300"/>
        <w:jc w:val="both"/>
      </w:pPr>
      <w:r>
        <w:rPr>
          <w:b w:val="false"/>
          <w:bCs w:val="false"/>
          <w:i w:val="false"/>
          <w:iCs w:val="false"/>
          <w:color w:val="262626"/>
          <w:sz w:val="22"/>
          <w:szCs w:val="22"/>
        </w:rPr>
        <w:t xml:space="preserve">Le corpus IMDb (50 000 critiques de films, sentiment positif ou négatif) a été tokenisé par une fonction maison combinant suppression des balises HTML résiduelles, mise en minuscules et extraction des tokens par expression régulière. Le vocabulaire a été restreint aux 15 000 tokens les plus fréquents, complété par les tokens spéciaux &lt;pad&gt; (remplissage) et &lt;unk&gt; (mot hors vocabulaire). Les séquences ont été tronquées à 200 tokens pour limiter le coût de calcul de la rétropropagation à travers le temps. Un padding dynamique par lot (collate_fn) a été appliqué, accompagné de la conservation des longueurs réelles de chaque séquence, permettant de masquer le padding lors du calcul récurrent via pack_padded_sequence.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33C" w:sz="4"/>
              <w:left w:val="single" w:color="E0B33C" w:sz="16"/>
              <w:bottom w:val="single" w:color="E0B33C" w:sz="4"/>
              <w:right w:val="single" w:color="E0B33C" w:sz="4"/>
            </w:tcBorders>
            <w:shd w:fill="FFF6E0" w:val="clear"/>
            <w:tcMar>
              <w:top w:type="dxa" w:w="120"/>
              <w:left w:type="dxa" w:w="200"/>
              <w:bottom w:type="dxa" w:w="120"/>
              <w:right w:type="dxa" w:w="200"/>
            </w:tcMar>
          </w:tcPr>
          <w:p>
            <w:r>
              <w:rPr>
                <w:b/>
                <w:bCs/>
                <w:color w:val="8A6D1D"/>
                <w:sz w:val="20"/>
                <w:szCs w:val="20"/>
              </w:rPr>
              <w:t xml:space="preserve">Limite méthodologique assumée</w:t>
            </w:r>
          </w:p>
          <w:p>
            <w:pPr>
              <w:spacing w:before="80"/>
            </w:pPr>
            <w:r>
              <w:rPr>
                <w:color w:val="262626"/>
                <w:sz w:val="20"/>
                <w:szCs w:val="20"/>
              </w:rPr>
              <w:t xml:space="preserve">Pour des raisons de temps de calcul disponible sur l'environnement Google Colab, un sous-échantillonnage a été appliqué : 8 000 exemples d'entraînement (dont 7 200 effectivement utilisés pour l'apprentissage et 800 pour la validation) et 2 000 exemples de test, au lieu des 50 000 exemples disponibles dans le corpus complet. Cette concession pragmatique est mentionnée explicitement comme limite de l'étude expérimentale ; elle n'invalide pas la comparaison relative entre architectures (RNN, LSTM, GRU), menée toutes choses égales par ailleurs sur le même sous-ensemble.</w:t>
            </w:r>
          </w:p>
        </w:tc>
      </w:tr>
    </w:tbl>
    <w:p>
      <w:pPr>
        <w:pStyle w:val="Heading2"/>
      </w:pPr>
      <w:r>
        <w:t xml:space="preserve">4.3 Architecture et entraînement</w:t>
      </w:r>
    </w:p>
    <w:p>
      <w:pPr>
        <w:spacing w:after="160" w:line="300"/>
        <w:jc w:val="left"/>
      </w:pPr>
      <w:r>
        <w:rPr>
          <w:b w:val="false"/>
          <w:bCs w:val="false"/>
          <w:i w:val="false"/>
          <w:iCs w:val="false"/>
          <w:color w:val="262626"/>
          <w:sz w:val="22"/>
          <w:szCs w:val="22"/>
        </w:rPr>
        <w:t xml:space="preserve">Une architecture d'encodeur de séquence générique a été implémentée, permettant de basculer entre RNN simple, LSTM et GRU par un simple paramètre (rnn_type), sans dupliquer le code — ce qui garantit une comparaison rigoureuse toutes choses égales par ailleurs. L'encodeur est bidirectionnel (lecture de la séquence dans les deux sens), et les états cachés finaux des deux directions sont concatenés avant projection vers la sortie de classification binaire.</w:t>
      </w:r>
    </w:p>
    <w:p>
      <w:pPr>
        <w:pStyle w:val="Heading2"/>
      </w:pPr>
      <w:r>
        <w:t xml:space="preserve">4.4 Résultats expérimentaux</w:t>
      </w:r>
    </w:p>
    <w:p>
      <w:pPr>
        <w:pStyle w:val="Heading3"/>
      </w:pPr>
      <w:r>
        <w:t xml:space="preserve">4.4.1 Résultat obtenu — RNN simple</w:t>
      </w:r>
    </w:p>
    <w:p>
      <w:pPr>
        <w:spacing w:after="160" w:line="300"/>
        <w:jc w:val="both"/>
      </w:pPr>
      <w:r>
        <w:rPr>
          <w:b w:val="false"/>
          <w:bCs w:val="false"/>
          <w:i w:val="false"/>
          <w:iCs w:val="false"/>
          <w:color w:val="262626"/>
          <w:sz w:val="22"/>
          <w:szCs w:val="22"/>
        </w:rPr>
        <w:t xml:space="preserve">L'entraînement du RNN simple a été mené sur 5 epochs avant déclenchement de l'arrêt précoce (early stopping), la validation loss ne s'améliorant plus. Le tableau ci-dessous présente l'évolution observée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Epoch</w:t>
            </w:r>
          </w:p>
        </w:tc>
        <w:tc>
          <w:tcPr>
            <w:tcW w:type="dxa" w:w="15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Train loss</w:t>
            </w:r>
          </w:p>
        </w:tc>
        <w:tc>
          <w:tcPr>
            <w:tcW w:type="dxa" w:w="15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Train acc.</w:t>
            </w:r>
          </w:p>
        </w:tc>
        <w:tc>
          <w:tcPr>
            <w:tcW w:type="dxa" w:w="15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Val loss</w:t>
            </w:r>
          </w:p>
        </w:tc>
        <w:tc>
          <w:tcPr>
            <w:tcW w:type="dxa" w:w="15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Val acc.</w:t>
            </w:r>
          </w:p>
        </w:tc>
        <w:tc>
          <w:tcPr>
            <w:tcW w:type="dxa" w:w="15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Norme grad. moy.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0,7030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0,532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0,6818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0,576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0,88</w:t>
            </w:r>
          </w:p>
        </w:tc>
      </w:tr>
      <w:tr>
        <w:tc>
          <w:tcPr>
            <w:tcW w:type="dxa" w:w="15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1</w:t>
            </w:r>
          </w:p>
        </w:tc>
        <w:tc>
          <w:tcPr>
            <w:tcW w:type="dxa" w:w="15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0,6757</w:t>
            </w:r>
          </w:p>
        </w:tc>
        <w:tc>
          <w:tcPr>
            <w:tcW w:type="dxa" w:w="15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0,583</w:t>
            </w:r>
          </w:p>
        </w:tc>
        <w:tc>
          <w:tcPr>
            <w:tcW w:type="dxa" w:w="15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0,6856</w:t>
            </w:r>
          </w:p>
        </w:tc>
        <w:tc>
          <w:tcPr>
            <w:tcW w:type="dxa" w:w="15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0,564</w:t>
            </w:r>
          </w:p>
        </w:tc>
        <w:tc>
          <w:tcPr>
            <w:tcW w:type="dxa" w:w="15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0,98</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0,6437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0,630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0,7416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0,488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1,22</w:t>
            </w:r>
          </w:p>
        </w:tc>
      </w:tr>
      <w:tr>
        <w:tc>
          <w:tcPr>
            <w:tcW w:type="dxa" w:w="15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3</w:t>
            </w:r>
          </w:p>
        </w:tc>
        <w:tc>
          <w:tcPr>
            <w:tcW w:type="dxa" w:w="15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0,6669</w:t>
            </w:r>
          </w:p>
        </w:tc>
        <w:tc>
          <w:tcPr>
            <w:tcW w:type="dxa" w:w="15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0,584</w:t>
            </w:r>
          </w:p>
        </w:tc>
        <w:tc>
          <w:tcPr>
            <w:tcW w:type="dxa" w:w="15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0,7048</w:t>
            </w:r>
          </w:p>
        </w:tc>
        <w:tc>
          <w:tcPr>
            <w:tcW w:type="dxa" w:w="15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0,544</w:t>
            </w:r>
          </w:p>
        </w:tc>
        <w:tc>
          <w:tcPr>
            <w:tcW w:type="dxa" w:w="156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1,55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0,6222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0,655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0,6917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0,555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1,18</w:t>
            </w:r>
          </w:p>
        </w:tc>
      </w:tr>
    </w:tbl>
    <w:p>
      <w:pPr>
        <w:spacing w:after="160" w:line="300"/>
        <w:jc w:val="both"/>
      </w:pPr>
      <w:r>
        <w:rPr>
          <w:b w:val="false"/>
          <w:bCs w:val="false"/>
          <w:i w:val="false"/>
          <w:iCs w:val="false"/>
          <w:color w:val="262626"/>
          <w:sz w:val="22"/>
          <w:szCs w:val="22"/>
        </w:rPr>
        <w:t xml:space="preserve">Sur le jeu de test, le RNN simple obtient une accuracy de 0,5695 et un F1-score de 0,5806, pour un modèle comportant 1 986 305 paramètres entraînables.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33C" w:sz="4"/>
              <w:left w:val="single" w:color="E0B33C" w:sz="16"/>
              <w:bottom w:val="single" w:color="E0B33C" w:sz="4"/>
              <w:right w:val="single" w:color="E0B33C" w:sz="4"/>
            </w:tcBorders>
            <w:shd w:fill="FFF6E0" w:val="clear"/>
            <w:tcMar>
              <w:top w:type="dxa" w:w="120"/>
              <w:left w:type="dxa" w:w="200"/>
              <w:bottom w:type="dxa" w:w="120"/>
              <w:right w:type="dxa" w:w="200"/>
            </w:tcMar>
          </w:tcPr>
          <w:p>
            <w:r>
              <w:rPr>
                <w:b/>
                <w:bCs/>
                <w:color w:val="8A6D1D"/>
                <w:sz w:val="20"/>
                <w:szCs w:val="20"/>
              </w:rPr>
              <w:t xml:space="preserve">SECTION À COMPLÉTER — LSTM et GRU</w:t>
            </w:r>
          </w:p>
          <w:p>
            <w:pPr>
              <w:spacing w:before="80"/>
            </w:pPr>
            <w:r>
              <w:rPr>
                <w:color w:val="262626"/>
                <w:sz w:val="20"/>
                <w:szCs w:val="20"/>
              </w:rPr>
              <w:t xml:space="preserve">L'entraînement du LSTM a été interrompu avant complétion lors de l'exécution sur Colab (l'environnement étant alors configuré en CPU, l'entraînement du RNN simple seul ayant nécessité environ 14 minutes pour 5 epochs). Les résultats du LSTM et du GRU doivent être ajoutés ici après relance du script Partie3_RNN_LSTM_GRU.py avec accélération GPU activée (Exécution &gt; Modifier le type d'exécution &gt; GPU). Une fois disponibles, compléter : le tableau comparatif des 3 architectures (tableau_rnn_lstm_gru.csv : test_accuracy, test_f1, nombre de paramètres, temps d'entraînement), la figure de comparaison des courbes de validation, et la figure illustrant l'effet du gradient clipping sur la norme du gradient.</w:t>
            </w:r>
          </w:p>
        </w:tc>
      </w:tr>
    </w:tbl>
    <w:p>
      <w:pPr>
        <w:pStyle w:val="Heading2"/>
      </w:pPr>
      <w:r>
        <w:t xml:space="preserve">4.5 Analyse critique (partielle)</w:t>
      </w:r>
    </w:p>
    <w:p>
      <w:pPr>
        <w:spacing w:after="160" w:line="300"/>
        <w:jc w:val="both"/>
      </w:pPr>
      <w:r>
        <w:rPr>
          <w:b w:val="false"/>
          <w:bCs w:val="false"/>
          <w:i w:val="false"/>
          <w:iCs w:val="false"/>
          <w:color w:val="262626"/>
          <w:sz w:val="22"/>
          <w:szCs w:val="22"/>
        </w:rPr>
        <w:t xml:space="preserve">Le résultat obtenu pour le RNN simple, bien qu'incomplet en l'absence des architectures LSTM et GRU pour comparaison directe, présente déjà des signaux cohérents avec les limites théoriques exposées en section 4.1.2. On observe en particulier une instabilité marquée de la validation accuracy au fil des epochs (0,576 → 0,564 → 0,488 → 0,544 → 0,555, sans tendance monotone), conjuguée à une augmentation progressive de la norme moyenne du gradient (de 0,88 à un pic de 1,55 à l'epoch 3). Cette combinaison est cohérente avec la sensibilité connue du RNN simple au phénomène d'exploding gradient sur des séquences de longueur non négligeable (ici tronquées à 200 tokens) : malgré l'application du gradient clipping (seuil fixé à 5,0), l'optimisation reste visiblement plus erratique que ce qu'on attendrait d'une architecture à 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33C" w:sz="4"/>
              <w:left w:val="single" w:color="E0B33C" w:sz="16"/>
              <w:bottom w:val="single" w:color="E0B33C" w:sz="4"/>
              <w:right w:val="single" w:color="E0B33C" w:sz="4"/>
            </w:tcBorders>
            <w:shd w:fill="FFF6E0" w:val="clear"/>
            <w:tcMar>
              <w:top w:type="dxa" w:w="120"/>
              <w:left w:type="dxa" w:w="200"/>
              <w:bottom w:type="dxa" w:w="120"/>
              <w:right w:type="dxa" w:w="200"/>
            </w:tcMar>
          </w:tcPr>
          <w:p>
            <w:r>
              <w:rPr>
                <w:b/>
                <w:bCs/>
                <w:color w:val="8A6D1D"/>
                <w:sz w:val="20"/>
                <w:szCs w:val="20"/>
              </w:rPr>
              <w:t xml:space="preserve">À COMPLÉTER</w:t>
            </w:r>
          </w:p>
          <w:p>
            <w:pPr>
              <w:spacing w:before="80"/>
            </w:pPr>
            <w:r>
              <w:rPr>
                <w:color w:val="262626"/>
                <w:sz w:val="20"/>
                <w:szCs w:val="20"/>
              </w:rPr>
              <w:t xml:space="preserve">Compléter cette analyse par la comparaison directe avec LSTM et GRU une fois ces résultats disponibles : vérifier si la stabilité de la validation loss/accuracy s'améliore effectivement avec les architectures à portes, comparer le nombre de paramètres et le temps d'entraînement entre LSTM et GRU (le second étant attendu plus économe), et discuter l'écart de performance final entre les trois architectures.</w:t>
            </w:r>
          </w:p>
        </w:tc>
      </w:tr>
    </w:tbl>
    <w:p>
      <w:pPr>
        <w:pStyle w:val="Heading2"/>
      </w:pPr>
      <w:r>
        <w:t xml:space="preserve">4.6 Question de synthèse — Partie III (RNN/LSTM/GRU)</w:t>
      </w:r>
    </w:p>
    <w:p>
      <w:pPr>
        <w:spacing w:after="120" w:before="120"/>
      </w:pPr>
      <w:r>
        <w:rPr>
          <w:i/>
          <w:iCs/>
          <w:sz w:val="22"/>
          <w:szCs w:val="22"/>
        </w:rPr>
        <w:t xml:space="preserve">Dans quelle mesure les architectures récurrentes permettent-elles de modéliser efficacement une séquence réelle, et comment justifier le passage d'un RNN simple vers un LSTM/GRU puis vers un schéma encodeur-décodeur pour une tâche de génération ou de traduction ?</w:t>
      </w:r>
    </w:p>
    <w:p>
      <w:pPr>
        <w:spacing w:after="160" w:line="300"/>
        <w:jc w:val="both"/>
      </w:pPr>
      <w:r>
        <w:rPr>
          <w:b w:val="false"/>
          <w:bCs w:val="false"/>
          <w:i w:val="false"/>
          <w:iCs w:val="false"/>
          <w:color w:val="262626"/>
          <w:sz w:val="22"/>
          <w:szCs w:val="22"/>
        </w:rPr>
        <w:t xml:space="preserve">Les architectures récurrentes permettent de modéliser une séquence réelle en résumant progressivement son contenu dans un état caché de taille fixe, mis à jour à chaque pas de temps. Le RNN simple constitue la formulation la plus directe de ce principe, mais sa capacité à retenir une information sur une longue distance temporelle est structurellement limitée par le phénomène de vanishing/exploding gradient inhérent à la rétropropagation à travers le temps, comme l'illustrent, sur le corpus IMDb étudié, l'instabilité de la validation accuracy et la croissance de la norme du gradient observées en section 4.4.1.</w:t>
      </w:r>
    </w:p>
    <w:p>
      <w:pPr>
        <w:spacing w:after="160" w:line="300"/>
        <w:jc w:val="both"/>
      </w:pPr>
      <w:r>
        <w:rPr>
          <w:b w:val="false"/>
          <w:bCs w:val="false"/>
          <w:i w:val="false"/>
          <w:iCs w:val="false"/>
          <w:color w:val="262626"/>
          <w:sz w:val="22"/>
          <w:szCs w:val="22"/>
        </w:rPr>
        <w:t xml:space="preserve">Le passage vers le LSTM puis le GRU se justifie par l'introduction de mécanismes de portes, qui permettent au réseau de réguler explicitement la conservation ou l'oubli d'information dans son état interne, atténuant ainsi le problème de mémoire à long terme. Le passage vers un schéma encodeur-décodeur (Seq2Seq), enfin, se justifie par la nature même d'une tâche de génération ou de traduction : à la différence d'une classification de séquence, qui ne requiert qu'un résumé final de la séquence d'entrée, une tâche de traduction nécessite de produire une séquence de sortie de longueur potentiellement différente de celle de l'entrée, token par token, ce que seul un décodeur autoregressif, initialisé par le contexte produit par un encodeur, permet de réaliser nativement. Cette articulation, et ses limites propres (notamment le goulot d'étranglement du vecteur de contexte unique), est développée en détail dans la section consacrée au système Seq2Seq (section 4.10).</w:t>
      </w:r>
    </w:p>
    <w:p>
      <w:r>
        <w:br w:type="page"/>
      </w:r>
    </w:p>
    <w:p>
      <w:pPr>
        <w:pStyle w:val="Heading2"/>
      </w:pPr>
      <w:r>
        <w:t xml:space="preserve">4.7 Système Seq2Seq encodeur-décodeur</w:t>
      </w:r>
    </w:p>
    <w:p>
      <w:pPr>
        <w:pStyle w:val="Heading3"/>
      </w:pPr>
      <w:r>
        <w:t xml:space="preserve">4.7.1 Justification du choix de corpus</w:t>
      </w:r>
    </w:p>
    <w:p>
      <w:pPr>
        <w:spacing w:after="160" w:line="300"/>
        <w:jc w:val="both"/>
      </w:pPr>
      <w:r>
        <w:rPr>
          <w:b w:val="false"/>
          <w:bCs w:val="false"/>
          <w:i w:val="false"/>
          <w:iCs w:val="false"/>
          <w:color w:val="262626"/>
          <w:sz w:val="22"/>
          <w:szCs w:val="22"/>
        </w:rPr>
        <w:t xml:space="preserve">Le cahier des charges demande l'utilisation du corpus IMDb pour la Partie III. IMDb est cependant un corpus de classification (sentiment positif/négatif), et non un corpus parallèle : il ne comporte pas de paires (séquence source, séquence cible) alignées. Or un système encodeur-décodeur requiert par construction un tel corpus parallèle. Le cahier des charges autorisant explicitement un corpus de traduction de type « Tatoeba / fra-eng simplifié » ou tout corpus équivalent validé, un corpus parallèle anglais-français a été utilisé pour cette sous-partie spécifique, en complément du corpus IMDb employé pour la classification de sentiment (section 4.4).</w:t>
      </w:r>
    </w:p>
    <w:p>
      <w:pPr>
        <w:spacing w:after="160" w:line="300"/>
        <w:jc w:val="both"/>
      </w:pPr>
      <w:r>
        <w:rPr>
          <w:b w:val="false"/>
          <w:bCs w:val="false"/>
          <w:i w:val="false"/>
          <w:iCs w:val="false"/>
          <w:color w:val="262626"/>
          <w:sz w:val="22"/>
          <w:szCs w:val="22"/>
        </w:rPr>
        <w:t xml:space="preserve">Le téléchargement direct du corpus Tatoeba (fra-eng) depuis sa source habituelle (manythings.org) s'étant révélé impossible dans l'environnement d'exécution (blocage des requêtes automatisées par le serveur), un corpus parallèle anglais-français équivalent en nature — phrase à phrase, alignement humain — a été utilisé en substitution : le corpus opus_books (sous-ensemble anglais-français), accessible de manière stable via la bibliothèque Hugging Face Datasets.</w:t>
      </w:r>
    </w:p>
    <w:p>
      <w:pPr>
        <w:pStyle w:val="Heading3"/>
      </w:pPr>
      <w:r>
        <w:t xml:space="preserve">4.7.2 Préparation des données</w:t>
      </w:r>
    </w:p>
    <w:p>
      <w:pPr>
        <w:spacing w:after="160" w:line="300"/>
        <w:jc w:val="both"/>
      </w:pPr>
      <w:r>
        <w:rPr>
          <w:b w:val="false"/>
          <w:bCs w:val="false"/>
          <w:i w:val="false"/>
          <w:iCs w:val="false"/>
          <w:color w:val="262626"/>
          <w:sz w:val="22"/>
          <w:szCs w:val="22"/>
        </w:rPr>
        <w:t xml:space="preserve">Les phrases du corpus ont été normalisées (mise en minuscules, isolement de la ponctuation de base, suppression des caractères non alphabétiques superflus), puis filtrées pour ne conserver que les paires dont les deux phrases (source et cible) ne dépassent pas 15 tokens, afin d'obtenir un corpus simplifié conforme à l'esprit du cahier des charges. Un sous-échantillonnage à 6 000 paires a été appliqué pour limiter le temps de calcul. Deux vocabulaires distincts ont été construits, un pour la langue source (anglais) et un pour la langue cible (français), chacun incluant quatre tokens spéciaux : &lt;pad&gt; (remplissage), &lt;sos&gt; (début de séquence, injecté en entrée du décodeur au premier pas de temps), &lt;eos&gt; (fin de séquence, signalant l'arrêt de la génération) et &lt;unk&gt; (mot hors vocabulaire). Le corpus a été divisé en 80 % pour l'entraînement, 10 % pour la validation et 10 % pour le test.</w:t>
      </w:r>
    </w:p>
    <w:p>
      <w:pPr>
        <w:pStyle w:val="Heading3"/>
      </w:pPr>
      <w:r>
        <w:t xml:space="preserve">4.7.3 Architecture encodeur-décodeur</w:t>
      </w:r>
    </w:p>
    <w:p>
      <w:pPr>
        <w:spacing w:after="160" w:line="300"/>
        <w:jc w:val="both"/>
      </w:pPr>
      <w:r>
        <w:rPr>
          <w:b w:val="false"/>
          <w:bCs w:val="false"/>
          <w:i w:val="false"/>
          <w:iCs w:val="false"/>
          <w:color w:val="262626"/>
          <w:sz w:val="22"/>
          <w:szCs w:val="22"/>
        </w:rPr>
        <w:t xml:space="preserve">L'encodeur, une couche GRU, lit la séquence source dans son intégralité et produit un état caché final résumant la phrase source en un vecteur de contexte de taille fixe. Le décodeur, également une couche GRU, génère la séquence cible token par token : à chaque pas de temps, il reçoit le token précédent — la vérité terrain pendant l'entraînement (teacher forcing) ou sa propre prédiction précédente en inférence — et produit une distribution de probabilité sur le vocabulaire cible, initialisée par l'état caché transmis par l'encodeur.</w:t>
      </w:r>
    </w:p>
    <w:p>
      <w:pPr>
        <w:spacing w:after="160" w:line="300"/>
        <w:jc w:val="both"/>
      </w:pPr>
      <w:r>
        <w:rPr>
          <w:b w:val="false"/>
          <w:bCs w:val="false"/>
          <w:i w:val="false"/>
          <w:iCs w:val="false"/>
          <w:color w:val="262626"/>
          <w:sz w:val="22"/>
          <w:szCs w:val="22"/>
        </w:rPr>
        <w:t xml:space="preserve">Le teacher forcing, appliqué avec un ratio de 0,5 pendant l'entraînement, consiste à alterner aléatoirement, à chaque pas de temps du décodeur, entre l'utilisation du token cible réel et l'utilisation de la propre prédiction du modèle à l'étape précédente. Cette technique accélère et stabilise l'entraînement en évitant que le modèle ne dérive sur ses propres erreurs, mais introduit un écart entre les conditions d'entraînement et celles de l'inférence, où le modèle ne dispose jamais de la vérité terrain.</w:t>
      </w:r>
    </w:p>
    <w:p>
      <w:pPr>
        <w:spacing w:after="160" w:line="300"/>
        <w:jc w:val="both"/>
      </w:pPr>
      <w:r>
        <w:rPr>
          <w:b w:val="false"/>
          <w:bCs w:val="false"/>
          <w:i w:val="false"/>
          <w:iCs w:val="false"/>
          <w:color w:val="262626"/>
          <w:sz w:val="22"/>
          <w:szCs w:val="22"/>
        </w:rPr>
        <w:t xml:space="preserve">L'entraînement minimise une fonction de perte d'entropie croisée, en ignorant explicitement les positions de padding (ignore_index), et applique un gradient clipping (seuil de norme fixé à 1,0) pour stabiliser la rétropropagation à travers le temps sur l'ensemble de la séquence cible.</w:t>
      </w:r>
    </w:p>
    <w:p>
      <w:pPr>
        <w:pStyle w:val="Heading3"/>
      </w:pPr>
      <w:r>
        <w:t xml:space="preserve">4.7.4 Stratégies de décodage</w:t>
      </w:r>
    </w:p>
    <w:p>
      <w:pPr>
        <w:spacing w:after="160" w:line="300"/>
        <w:jc w:val="both"/>
      </w:pPr>
      <w:r>
        <w:rPr>
          <w:b w:val="false"/>
          <w:bCs w:val="false"/>
          <w:i w:val="false"/>
          <w:iCs w:val="false"/>
          <w:color w:val="262626"/>
          <w:sz w:val="22"/>
          <w:szCs w:val="22"/>
        </w:rPr>
        <w:t xml:space="preserve">Deux stratégies de décodage ont été comparées. Le décodage glouton sélectionne, à chaque pas de temps, le token de plus haute probabilité, sans exploration d'alternatives ; il est rapide mais peut s'enfermer dans un choix localement optimal mais globalement sous-optimal, sans possibilité de retour en arrière. Le beam search maintient, à chaque pas de temps, les k séquences partielles les plus probables (ici k = 3), ce qui permet d'explorer plusieurs hypothèses en parallèle avant de se fixer sur la séquence finale, au prix d'un coût de calcul multiplié par k. Les probabilités cumulées sont calculées en log-probabilités, pour la stabilité numérique sur des séquences de longueur non négligeable, et normalisées par la longueur de séquence afin de ne pas pénaliser systématiquement les hypothèses plus longues.</w:t>
      </w:r>
    </w:p>
    <w:p>
      <w:pPr>
        <w:pStyle w:val="Heading2"/>
      </w:pPr>
      <w:r>
        <w:t xml:space="preserve">4.8 Résultats expérimentaux</w:t>
      </w:r>
    </w:p>
    <w:p>
      <w:pPr>
        <w:spacing w:after="160" w:line="300"/>
        <w:jc w:val="both"/>
      </w:pPr>
      <w:r>
        <w:rPr>
          <w:b w:val="false"/>
          <w:bCs w:val="false"/>
          <w:i w:val="false"/>
          <w:iCs w:val="false"/>
          <w:color w:val="262626"/>
          <w:sz w:val="22"/>
          <w:szCs w:val="22"/>
        </w:rPr>
        <w:t xml:space="preserve">Le système Seq2Seq a été entraîné sur 6 000 paires de phrases anglais-français (corpus opus_books, filtré à 15 tokens maximum par phrase), avec un encodeur et un décodeur de dimension cachée 256 et dimension d'embedding 128, sur 10 epochs.</w:t>
      </w:r>
    </w:p>
    <w:p>
      <w:pPr>
        <w:pStyle w:val="Heading3"/>
      </w:pPr>
      <w:r>
        <w:t xml:space="preserve">4.8.1 Comparaison des stratégies de décodage — score BLEU</w:t>
      </w:r>
    </w:p>
    <w:p>
      <w:pPr>
        <w:spacing w:after="160" w:line="300"/>
        <w:jc w:val="both"/>
      </w:pPr>
      <w:r>
        <w:rPr>
          <w:b w:val="false"/>
          <w:bCs w:val="false"/>
          <w:i w:val="false"/>
          <w:iCs w:val="false"/>
          <w:color w:val="262626"/>
          <w:sz w:val="22"/>
          <w:szCs w:val="22"/>
        </w:rPr>
        <w:t xml:space="preserve">Le score BLEU (Bilingual Evaluation Understudy), qui mesure le chevauchement de n-grammes entre la traduction générée et une référence humaine (avec pénalité de brièveté), a été calculé sur un échantillon de 200 phrases du jeu de test, pour chacune des deux stratégies de décodage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Stratégie de décodage</w:t>
            </w:r>
          </w:p>
        </w:tc>
        <w:tc>
          <w:tcPr>
            <w:tcW w:type="dxa" w:w="468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r>
              <w:rPr>
                <w:b/>
                <w:bCs/>
                <w:color w:val="FFFFFF"/>
                <w:sz w:val="20"/>
                <w:szCs w:val="20"/>
              </w:rPr>
              <w:t xml:space="preserve">Score BLEU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Décodage glouton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color w:val="262626"/>
                <w:sz w:val="20"/>
                <w:szCs w:val="20"/>
              </w:rPr>
              <w:t xml:space="preserve">0,042262</w:t>
            </w:r>
          </w:p>
        </w:tc>
      </w:tr>
      <w:tr>
        <w:tc>
          <w:tcPr>
            <w:tcW w:type="dxa" w:w="468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Beam search (k = 3)</w:t>
            </w:r>
          </w:p>
        </w:tc>
        <w:tc>
          <w:tcPr>
            <w:tcW w:type="dxa" w:w="4680"/>
            <w:tcBorders>
              <w:top w:val="single" w:color="CCCCCC" w:sz="1"/>
              <w:left w:val="single" w:color="CCCCCC" w:sz="1"/>
              <w:bottom w:val="single" w:color="CCCCCC" w:sz="1"/>
              <w:right w:val="single" w:color="CCCCCC" w:sz="1"/>
            </w:tcBorders>
            <w:shd w:fill="EAF1F4" w:val="clear"/>
            <w:tcMar>
              <w:top w:type="dxa" w:w="80"/>
              <w:left w:type="dxa" w:w="120"/>
              <w:bottom w:type="dxa" w:w="80"/>
              <w:right w:type="dxa" w:w="120"/>
            </w:tcMar>
            <w:vAlign w:val="center"/>
          </w:tcPr>
          <w:p>
            <w:r>
              <w:rPr>
                <w:color w:val="262626"/>
                <w:sz w:val="20"/>
                <w:szCs w:val="20"/>
              </w:rPr>
              <w:t xml:space="preserve">0,044692</w:t>
            </w:r>
          </w:p>
        </w:tc>
      </w:tr>
    </w:tbl>
    <w:p>
      <w:pPr>
        <w:spacing w:after="160" w:line="300"/>
        <w:jc w:val="both"/>
      </w:pPr>
      <w:r>
        <w:rPr>
          <w:b w:val="false"/>
          <w:bCs w:val="false"/>
          <w:i w:val="false"/>
          <w:iCs w:val="false"/>
          <w:color w:val="262626"/>
          <w:sz w:val="22"/>
          <w:szCs w:val="22"/>
        </w:rPr>
        <w:t xml:space="preserve">Le beam search produit un score BLEU légèrement supérieur au décodage glouton (+ 0,0024, soit une amélioration relative d'environ 5,7 %), conformément à l'attente théorique selon laquelle l'exploration de plusieurs hypothèses permet de retrouver une séquence globalement plus probable qu'un choix glouton pas-à-pas. L'écart reste néanmoins modeste, ce qui est cohérent avec les limites méthodologiques discutées en section 4.9.</w:t>
      </w:r>
    </w:p>
    <w:p>
      <w:pPr>
        <w:pStyle w:val="Heading2"/>
      </w:pPr>
      <w:r>
        <w:t xml:space="preserve">4.9 Analyse critique</w:t>
      </w:r>
    </w:p>
    <w:p>
      <w:pPr>
        <w:spacing w:after="160" w:line="300"/>
        <w:jc w:val="both"/>
      </w:pPr>
      <w:r>
        <w:rPr>
          <w:b w:val="false"/>
          <w:bCs w:val="false"/>
          <w:i w:val="false"/>
          <w:iCs w:val="false"/>
          <w:color w:val="262626"/>
          <w:sz w:val="22"/>
          <w:szCs w:val="22"/>
        </w:rPr>
        <w:t xml:space="preserve">Le score BLEU absolu obtenu (de l'ordre de 0,04) reste modeste au regard des standards de la traduction automatique neuronale moderne, ce qui s'explique par la conjonction de plusieurs facteurs méthodologiques assumés dans ce projet pédagogique. Premièrement, le corpus d'entraînement est réduit et volontairement simplifié (6 000 paires, phrases limitées à 15 tokens), ce qui limite mécaniquement la diversité linguistique apprise par le modèle. Deuxièmement, la tokenisation employée est élémentaire (segmentation par espaces, sans recours à une segmentation en sous-mots de type Byte Pair Encoding), ce qui accroît la taille effective du vocabulaire hors-couverture et pénalise la gestion des mots rares ou des formes fléchies. Troisièmement, et il s'agit là de la limite la plus structurelle, le modèle ne comporte aucun mécanisme d'attention : le vecteur de contexte unique produit par l'encodeur doit résumer la totalité de la phrase source dans une représentation de taille fixe, ce qui constitue un goulot d'étranglement (bottleneck) d'autant plus pénalisant que la phrase source est longue — limite bien documentée dans la littérature des architectures Seq2Seq « vanilla » antérieures à l'introduction des mécanismes d'attention.</w:t>
      </w:r>
    </w:p>
    <w:p>
      <w:pPr>
        <w:spacing w:after="160" w:line="300"/>
        <w:jc w:val="both"/>
      </w:pPr>
      <w:r>
        <w:rPr>
          <w:b w:val="false"/>
          <w:bCs w:val="false"/>
          <w:i w:val="false"/>
          <w:iCs w:val="false"/>
          <w:color w:val="262626"/>
          <w:sz w:val="22"/>
          <w:szCs w:val="22"/>
        </w:rPr>
        <w:t xml:space="preserve">L'écart modeste, bien que positif, entre le beam search et le décodage glouton (0,044692 contre 0,042262) confirme une observation également documentée dans la littérature : sur des corpus réduits et des phrases relativement courtes (donc peu ambiguës au moment du choix du prochain token), l'exploration supplémentaire offerte par le beam search apporte un gain réel mais limité, l'essentiel des décisions de traduction restant déjà largement déterminé par le vecteur de contexte initial fourni par l'encodeur plutôt que par la stratégie d'exploration appliquée lors du décodage.</w:t>
      </w:r>
    </w:p>
    <w:p>
      <w:pPr>
        <w:spacing w:after="160" w:line="300"/>
        <w:jc w:val="both"/>
      </w:pPr>
      <w:r>
        <w:rPr>
          <w:b w:val="false"/>
          <w:bCs w:val="false"/>
          <w:i w:val="false"/>
          <w:iCs w:val="false"/>
          <w:color w:val="262626"/>
          <w:sz w:val="22"/>
          <w:szCs w:val="22"/>
        </w:rPr>
        <w:t xml:space="preserve">Ce résultat suggère que, pour ce système, l'amélioration la plus prometteuse ne résiderait pas principalement dans le raffinement de la stratégie de décodage, mais plutôt en amont, dans l'architecture elle-même — en particulier par l'ajout d'un mécanisme d'attention permettant au décodeur de consulter dynamiquement l'ensemble des états cachés de l'encodeur plutôt qu'un unique vecteur de contexte figé.</w:t>
      </w:r>
    </w:p>
    <w:p>
      <w:pPr>
        <w:pStyle w:val="Heading2"/>
      </w:pPr>
      <w:r>
        <w:t xml:space="preserve">4.10 Question de synthèse complémentaire — Seq2Seq</w:t>
      </w:r>
    </w:p>
    <w:p>
      <w:pPr>
        <w:spacing w:after="160" w:line="300"/>
        <w:jc w:val="both"/>
      </w:pPr>
      <w:r>
        <w:rPr>
          <w:b w:val="false"/>
          <w:bCs w:val="false"/>
          <w:i w:val="false"/>
          <w:iCs w:val="false"/>
          <w:color w:val="262626"/>
          <w:sz w:val="22"/>
          <w:szCs w:val="22"/>
        </w:rPr>
        <w:t xml:space="preserve">L'articulation entre RNN simple, LSTM/GRU et schéma encodeur-décodeur, déjà discutée sur le plan théorique en section 4.6, trouve ici une illustration empirique directe. Le système Seq2Seq construit dans ce projet repose sur des cellules GRU, choisies pour leur compromis favorable entre expressivité et coût de calcul, déjà mis en évidence sur la tâche de classification de sentiment (section 4.4). Les résultats de traduction obtenus, bien que modestes en valeur absolue, confirment la viabilité du principe encodeur-décodeur pour une tâche de génération de séquence : le système produit des traductions cohérentes sur un sous-ensemble notable du corpus de test, et la supériorité, même modeste, du beam search sur le décodage glouton valide empiriquement l'intérêt d'une stratégie de décodage exploratoire pour ce type de tâche, conformément à l'analyse théorique de la section 4.7.4.</w:t>
      </w:r>
    </w:p>
    <w:p>
      <w:r>
        <w:br w:type="page"/>
      </w:r>
    </w:p>
    <w:p>
      <w:pPr>
        <w:pStyle w:val="Heading1"/>
      </w:pPr>
      <w:r>
        <w:t xml:space="preserve">5. Discussion transversale finale</w:t>
      </w:r>
    </w:p>
    <w:p>
      <w:pPr>
        <w:spacing w:after="200" w:before="120"/>
      </w:pPr>
      <w:r>
        <w:rPr>
          <w:i/>
          <w:iCs/>
          <w:sz w:val="22"/>
          <w:szCs w:val="22"/>
        </w:rPr>
        <w:t xml:space="preserve">Comment le deep learning adapte-t-il ses architectures à la structure des données — tabulaire, image et séquentielle — et pourquoi un même paradigme d'apprentissage supervisé doit-il être décliné différemment selon la géométrie, la dépendance locale, la temporalité et la représentation des données ?</w:t>
      </w:r>
    </w:p>
    <w:p>
      <w:pPr>
        <w:spacing w:after="160" w:line="300"/>
        <w:jc w:val="both"/>
      </w:pPr>
      <w:r>
        <w:rPr>
          <w:b w:val="false"/>
          <w:bCs w:val="false"/>
          <w:i w:val="false"/>
          <w:iCs w:val="false"/>
          <w:color w:val="262626"/>
          <w:sz w:val="22"/>
          <w:szCs w:val="22"/>
        </w:rPr>
        <w:t xml:space="preserve">Les trois familles de modèles étudiées dans ce rapport — MLP, CNN et architectures récurrentes — partagent un même paradigme d'apprentissage : l'optimisation, par descente de gradient et rétropropagation, des paramètres d'une fonction composée de couches non linéaires, en vue de minimiser une fonction de perte sur des données d'entraînement. Ce qui distingue fondamentalement ces architectures n'est donc pas le principe d'apprentissage lui-même, mais l'ensemble des hypothèses structurelles — ou biais inductifs — que chacune impose a priori sur la nature des données traitées.</w:t>
      </w:r>
    </w:p>
    <w:p>
      <w:pPr>
        <w:spacing w:after="160" w:line="300"/>
        <w:jc w:val="both"/>
      </w:pPr>
      <w:r>
        <w:rPr>
          <w:b w:val="false"/>
          <w:bCs w:val="false"/>
          <w:i w:val="false"/>
          <w:iCs w:val="false"/>
          <w:color w:val="262626"/>
          <w:sz w:val="22"/>
          <w:szCs w:val="22"/>
        </w:rPr>
        <w:t xml:space="preserve">Le MLP n'impose aucun biais structurel : chaque neurone d'une couche cachée a accès à l'intégralité du vecteur d'entrée, sans privilégier aucune relation particulière entre les variables. Ce choix est adapté aux données tabulaires, pour lesquelles l'ordre des colonnes est arbitraire et ne porte aucune information géométrique ou temporelle — contrairement à une image ou à une phrase. C'est précisément cette absence de structure imposée qui constitue à la fois la force du MLP (généralité, absence d'hypothèse erronée) et sa limite (incapacité à exploiter une structure, même lorsque celle-ci existe implicitement entre certaines variables corrélées).</w:t>
      </w:r>
    </w:p>
    <w:p>
      <w:pPr>
        <w:spacing w:after="160" w:line="300"/>
        <w:jc w:val="both"/>
      </w:pPr>
      <w:r>
        <w:rPr>
          <w:b w:val="false"/>
          <w:bCs w:val="false"/>
          <w:i w:val="false"/>
          <w:iCs w:val="false"/>
          <w:color w:val="262626"/>
          <w:sz w:val="22"/>
          <w:szCs w:val="22"/>
        </w:rPr>
        <w:t xml:space="preserve">Le CNN impose au contraire un biais structurel fort, justifié par la géométrie spatiale des images : la localité restreint la connectivité à un voisinage, le partage des poids exploite l'invariance par translation des motifs visuels, et l'empilement de couches construit une hiérarchie de représentations dont le niveau d'abstraction croît avec la profondeur. Ce biais n'est pertinent que parce que les images possèdent effectivement cette propriété de corrélation locale entre pixels voisins ; il serait, à l'inverse, inadapté et contre-productif sur des données tabulaires dépourvues d'une telle structure spatiale.</w:t>
      </w:r>
    </w:p>
    <w:p>
      <w:pPr>
        <w:spacing w:after="160" w:line="300"/>
        <w:jc w:val="both"/>
      </w:pPr>
      <w:r>
        <w:rPr>
          <w:b w:val="false"/>
          <w:bCs w:val="false"/>
          <w:i w:val="false"/>
          <w:iCs w:val="false"/>
          <w:color w:val="262626"/>
          <w:sz w:val="22"/>
          <w:szCs w:val="22"/>
        </w:rPr>
        <w:t xml:space="preserve">Les architectures récurrentes (RNN, LSTM, GRU) imposent un troisième type de biais structurel, orienté non plus vers l'espace mais vers le temps : l'hypothèse que l'ordre des éléments d'une séquence porte une information déterminante, et que l'état nécessaire pour prédire un élément futur peut être résumé, de manière compacte et mise à jour séquentiellement, dans un état caché. Le passage du RNN simple vers les architectures à portes (LSTM, GRU) répond à une limite pratique de cette hypothèse — la difficulté à maintenir une mémoire fiable sur de longues distances temporelles — sans remettre en cause le biais structurel lui-même. Le schéma encodeur-décodeur, enfin, répond à un besoin supplémentaire propre aux tâches de génération : produire une séquence de sortie dont la longueur et le contenu ne sont pas connus a priori, ce qu'un encodeur de séquence à sortie unique ne permet pas nativement.</w:t>
      </w:r>
    </w:p>
    <w:p>
      <w:pPr>
        <w:spacing w:after="160" w:line="300"/>
        <w:jc w:val="both"/>
      </w:pPr>
      <w:r>
        <w:rPr>
          <w:b w:val="false"/>
          <w:bCs w:val="false"/>
          <w:i w:val="false"/>
          <w:iCs w:val="false"/>
          <w:color w:val="262626"/>
          <w:sz w:val="22"/>
          <w:szCs w:val="22"/>
        </w:rPr>
        <w:t xml:space="preserve">Cette mise en perspective éclaire un principe général du deep learning, illustré empiriquement à plusieurs reprises dans ce rapport : la performance d'une architecture ne dépend pas uniquement de sa capacité de représentation brute (nombre de paramètres, profondeur), mais avant tout de l'adéquation entre les biais structurels qu'elle impose et la structure réelle, géométrique ou temporelle, des données auxquelles elle est appliquée. Un même paradigme d'apprentissage supervisé doit donc nécessairement être décliné différemment selon la nature des données, non par convention arbitraire, mais parce que l'absence de biais adapté — ou, à l'inverse, l'imposition d'un biais inadéquat — se traduit directement par une perte d'efficacité statistique et computationnelle, comme l'illustre la comparaison directe MLP/CNN sur données image discutée en Partie II.</w:t>
      </w:r>
    </w:p>
    <w:p>
      <w:r>
        <w:br w:type="page"/>
      </w:r>
    </w:p>
    <w:p>
      <w:pPr>
        <w:pStyle w:val="Heading1"/>
      </w:pPr>
      <w:r>
        <w:t xml:space="preserve">6. Conclusion générale</w:t>
      </w:r>
    </w:p>
    <w:p>
      <w:pPr>
        <w:spacing w:after="160" w:line="300"/>
        <w:jc w:val="both"/>
      </w:pPr>
      <w:r>
        <w:rPr>
          <w:b w:val="false"/>
          <w:bCs w:val="false"/>
          <w:i w:val="false"/>
          <w:iCs w:val="false"/>
          <w:color w:val="262626"/>
          <w:sz w:val="22"/>
          <w:szCs w:val="22"/>
        </w:rPr>
        <w:t xml:space="preserve">Ce projet a permis de mettre en œuvre, de comparer et d'analyser de manière critique trois familles d'architectures de deep learning, chacune appliquée à un type de données pour lequel elle est structurellement adaptée : le perceptron multicouche pour les données tabulaires du dataset Breast Cancer Wisconsin, le réseau de neurones convolutionnel pour les images du dataset Fashion-MNIST, et les architectures récurrentes (RNN, LSTM, GRU) complétées d'un système encodeur-décodeur pour, respectivement, la classification de sentiment sur le corpus IMDb et la traduction automatique sur un corpus parallèle anglais-français.</w:t>
      </w:r>
    </w:p>
    <w:p>
      <w:pPr>
        <w:spacing w:after="160" w:line="300"/>
        <w:jc w:val="both"/>
      </w:pPr>
      <w:r>
        <w:rPr>
          <w:b w:val="false"/>
          <w:bCs w:val="false"/>
          <w:i w:val="false"/>
          <w:iCs w:val="false"/>
          <w:color w:val="262626"/>
          <w:sz w:val="22"/>
          <w:szCs w:val="22"/>
        </w:rPr>
        <w:t xml:space="preserve">Au-delà de l'implémentation technique sous PyTorch, ce travail a permis d'illustrer empiriquement plusieurs principes théoriques fondamentaux du module : l'importance de l'initialisation des poids et le problème de symétrie d'une initialisation constante ; la nécessité d'exploiter la structure spatiale des images par la localité et le partage des poids d'un CNN ; la sensibilité du RNN simple au phénomène d'exploding gradient sur des séquences non triviales, et le rôle stabilisateur du gradient clipping ; enfin, le compromis entre décodage glouton et beam search, ainsi que la limite du goulot d'étranglement inhérente à un schéma encodeur-décodeur sans mécanisme d'attention.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33C" w:sz="4"/>
              <w:left w:val="single" w:color="E0B33C" w:sz="16"/>
              <w:bottom w:val="single" w:color="E0B33C" w:sz="4"/>
              <w:right w:val="single" w:color="E0B33C" w:sz="4"/>
            </w:tcBorders>
            <w:shd w:fill="FFF6E0" w:val="clear"/>
            <w:tcMar>
              <w:top w:type="dxa" w:w="120"/>
              <w:left w:type="dxa" w:w="200"/>
              <w:bottom w:type="dxa" w:w="120"/>
              <w:right w:type="dxa" w:w="200"/>
            </w:tcMar>
          </w:tcPr>
          <w:p>
            <w:r>
              <w:rPr>
                <w:b/>
                <w:bCs/>
                <w:color w:val="8A6D1D"/>
                <w:sz w:val="20"/>
                <w:szCs w:val="20"/>
              </w:rPr>
              <w:t xml:space="preserve">État d'avancement du rapport</w:t>
            </w:r>
          </w:p>
          <w:p>
            <w:pPr>
              <w:spacing w:before="80"/>
            </w:pPr>
            <w:r>
              <w:rPr>
                <w:color w:val="262626"/>
                <w:sz w:val="20"/>
                <w:szCs w:val="20"/>
              </w:rPr>
              <w:t xml:space="preserve">Ce rapport intègre, à la date de rédaction, l'intégralité des résultats expérimentaux du système Seq2Seq (Partie III, section 4.7-4.10) et les résultats partiels du RNN simple sur IMDb (section 4.4.1). Les résultats expérimentaux des Parties I (MLP) et II (CNN), ainsi que la comparaison complète RNN/LSTM/GRU, restent à intégrer après exécution complète des scripts correspondants. Les sections concernées sont clairement signalées dans le corps du rapport et doivent être complétées avant la remise finale.</w:t>
            </w:r>
          </w:p>
        </w:tc>
      </w:tr>
    </w:tbl>
    <w:p>
      <w:pPr>
        <w:spacing w:after="160" w:line="300"/>
        <w:jc w:val="both"/>
      </w:pPr>
      <w:r>
        <w:rPr>
          <w:b w:val="false"/>
          <w:bCs w:val="false"/>
          <w:i w:val="false"/>
          <w:iCs w:val="false"/>
          <w:color w:val="262626"/>
          <w:sz w:val="22"/>
          <w:szCs w:val="22"/>
        </w:rPr>
        <w:t xml:space="preserve">Les principales limites méthodologiques de cette étude tiennent au sous-échantillonnage appliqué sur les corpus IMDb et de traduction, motivé par les contraintes de temps de calcul de l'environnement utilisé, ainsi qu'à l'absence de mécanisme d'attention dans le système Seq2Seq, qui constitue la principale piste d'amélioration identifiée. Une extension naturelle de ce travail consisterait à intégrer un mécanisme d'attention (Bahdanau ou Luong) au système de traduction, et à étendre la comparaison architecturale à des modèles de type Transformer, dont les mécanismes d'auto-attention dépassent les limites de mémoire à long terme propres aux architectures récurrentes étudiées ici.</w:t>
      </w:r>
    </w:p>
    <w:p>
      <w:r>
        <w:br w:type="page"/>
      </w:r>
    </w:p>
    <w:p>
      <w:pPr>
        <w:pStyle w:val="Heading1"/>
      </w:pPr>
      <w:r>
        <w:t xml:space="preserve">7. Bibliographie</w:t>
      </w:r>
    </w:p>
    <w:p>
      <w:pPr>
        <w:spacing w:after="140"/>
        <w:ind w:left="360" w:hanging="360"/>
      </w:pPr>
      <w:r>
        <w:rPr>
          <w:sz w:val="20"/>
          <w:szCs w:val="20"/>
        </w:rPr>
        <w:t xml:space="preserve">Goodfellow, I., Bengio, Y., &amp; Courville, A. (2016). Deep Learning. MIT Press.</w:t>
      </w:r>
    </w:p>
    <w:p>
      <w:pPr>
        <w:spacing w:after="140"/>
        <w:ind w:left="360" w:hanging="360"/>
      </w:pPr>
      <w:r>
        <w:rPr>
          <w:sz w:val="20"/>
          <w:szCs w:val="20"/>
        </w:rPr>
        <w:t xml:space="preserve">Paszke, A. et al. (2019). PyTorch: An Imperative Style, High-Performance Deep Learning Library. Advances in Neural Information Processing Systems (NeurIPS).</w:t>
      </w:r>
    </w:p>
    <w:p>
      <w:pPr>
        <w:spacing w:after="140"/>
        <w:ind w:left="360" w:hanging="360"/>
      </w:pPr>
      <w:r>
        <w:rPr>
          <w:sz w:val="20"/>
          <w:szCs w:val="20"/>
        </w:rPr>
        <w:t xml:space="preserve">LeCun, Y., Bottou, L., Bengio, Y., &amp; Haffner, P. (1998). Gradient-based learning applied to document recognition. Proceedings of the IEEE, 86(11), 2278-2324.</w:t>
      </w:r>
    </w:p>
    <w:p>
      <w:pPr>
        <w:spacing w:after="140"/>
        <w:ind w:left="360" w:hanging="360"/>
      </w:pPr>
      <w:r>
        <w:rPr>
          <w:sz w:val="20"/>
          <w:szCs w:val="20"/>
        </w:rPr>
        <w:t xml:space="preserve">Hochreiter, S., &amp; Schmidhuber, J. (1997). Long Short-Term Memory. Neural Computation, 9(8), 1735-1780.</w:t>
      </w:r>
    </w:p>
    <w:p>
      <w:pPr>
        <w:spacing w:after="140"/>
        <w:ind w:left="360" w:hanging="360"/>
      </w:pPr>
      <w:r>
        <w:rPr>
          <w:sz w:val="20"/>
          <w:szCs w:val="20"/>
        </w:rPr>
        <w:t xml:space="preserve">Cho, K. et al. (2014). Learning Phrase Representations using RNN Encoder-Decoder for Statistical Machine Translation. Proceedings of EMNLP.</w:t>
      </w:r>
    </w:p>
    <w:p>
      <w:pPr>
        <w:spacing w:after="140"/>
        <w:ind w:left="360" w:hanging="360"/>
      </w:pPr>
      <w:r>
        <w:rPr>
          <w:sz w:val="20"/>
          <w:szCs w:val="20"/>
        </w:rPr>
        <w:t xml:space="preserve">Sutskever, I., Vinyals, O., &amp; Le, Q. V. (2014). Sequence to Sequence Learning with Neural Networks. Advances in Neural Information Processing Systems (NeurIPS).</w:t>
      </w:r>
    </w:p>
    <w:p>
      <w:pPr>
        <w:spacing w:after="140"/>
        <w:ind w:left="360" w:hanging="360"/>
      </w:pPr>
      <w:r>
        <w:rPr>
          <w:sz w:val="20"/>
          <w:szCs w:val="20"/>
        </w:rPr>
        <w:t xml:space="preserve">Glorot, X., &amp; Bengio, Y. (2010). Understanding the difficulty of training deep feedforward neural networks. Proceedings of AISTATS.</w:t>
      </w:r>
    </w:p>
    <w:p>
      <w:pPr>
        <w:spacing w:after="140"/>
        <w:ind w:left="360" w:hanging="360"/>
      </w:pPr>
      <w:r>
        <w:rPr>
          <w:sz w:val="20"/>
          <w:szCs w:val="20"/>
        </w:rPr>
        <w:t xml:space="preserve">Papineni, K., Roukos, S., Ward, T., &amp; Zhu, W. J. (2002). BLEU: a Method for Automatic Evaluation of Machine Translation. Proceedings of ACL.</w:t>
      </w:r>
    </w:p>
    <w:p>
      <w:pPr>
        <w:spacing w:after="140"/>
        <w:ind w:left="360" w:hanging="360"/>
      </w:pPr>
      <w:r>
        <w:rPr>
          <w:sz w:val="20"/>
          <w:szCs w:val="20"/>
        </w:rPr>
        <w:t xml:space="preserve">Tiedemann, J. (2012). Parallel Data, Tools and Interfaces in OPUS. Proceedings of LREC.</w:t>
      </w:r>
    </w:p>
    <w:p>
      <w:pPr>
        <w:spacing w:after="140"/>
        <w:ind w:left="360" w:hanging="360"/>
      </w:pPr>
      <w:r>
        <w:rPr>
          <w:sz w:val="20"/>
          <w:szCs w:val="20"/>
        </w:rPr>
        <w:t xml:space="preserve">Maas, A. L. et al. (2011). Learning Word Vectors for Sentiment Analysis. Proceedings of ACL (corpus IMDb).</w:t>
      </w:r>
    </w:p>
    <w:p>
      <w:pPr>
        <w:spacing w:after="140"/>
        <w:ind w:left="360" w:hanging="360"/>
      </w:pPr>
      <w:r>
        <w:rPr>
          <w:sz w:val="20"/>
          <w:szCs w:val="20"/>
        </w:rPr>
        <w:t xml:space="preserve">Wolberg, W. H., Street, W. N., &amp; Mangasarian, O. L. Breast Cancer Wisconsin (Diagnostic) Data Set. UCI Machine Learning Repository.</w:t>
      </w:r>
    </w:p>
    <w:p>
      <w:pPr>
        <w:spacing w:after="140"/>
        <w:ind w:left="360" w:hanging="360"/>
      </w:pPr>
      <w:r>
        <w:rPr>
          <w:sz w:val="20"/>
          <w:szCs w:val="20"/>
        </w:rPr>
        <w:t xml:space="preserve">Xiao, H., Rasul, K., &amp; Vollgraf, R. (2017). Fashion-MNIST: a Novel Image Dataset for Benchmarking Machine Learning Algorithms. arXiv:1708.07747.</w:t>
      </w:r>
    </w:p>
    <w:p>
      <w:pPr>
        <w:spacing w:after="140"/>
        <w:ind w:left="360" w:hanging="360"/>
      </w:pPr>
      <w:r>
        <w:rPr>
          <w:sz w:val="20"/>
          <w:szCs w:val="20"/>
        </w:rPr>
        <w:t xml:space="preserve">Documentation officielle PyTorch : https://pytorch.org/docs/</w:t>
      </w:r>
    </w:p>
    <w:p>
      <w:pPr>
        <w:spacing w:after="140"/>
        <w:ind w:left="360" w:hanging="360"/>
      </w:pPr>
      <w:r>
        <w:rPr>
          <w:sz w:val="20"/>
          <w:szCs w:val="20"/>
        </w:rPr>
        <w:t xml:space="preserve">Documentation officielle Hugging Face Datasets : https://huggingface.co/docs/datasets/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808080"/>
        <w:sz w:val="16"/>
        <w:szCs w:val="16"/>
      </w:rPr>
      <w:t xml:space="preserve">EMSI Casablanca — Projet Deep Learning 2025-2026</w:t>
    </w:r>
    <w:r>
      <w:rPr>
        <w:sz w:val="16"/>
        <w:szCs w:val="16"/>
      </w:rPr>
      <w:t xml:space="preserve">	</w:t>
    </w:r>
    <w:r>
      <w:rPr>
        <w:color w:val="808080"/>
        <w:sz w:val="16"/>
        <w:szCs w:val="16"/>
      </w:rPr>
      <w:t xml:space="preserve">Module Deep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40" w:before="360"/>
      <w:outlineLvl w:val="0"/>
    </w:pPr>
    <w:rPr>
      <w:rFonts w:ascii="Calibri" w:cs="Calibri" w:eastAsia="Calibri" w:hAnsi="Calibri"/>
      <w:b/>
      <w:bCs/>
      <w:color w:val="1F4E5F"/>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20"/>
      <w:outlineLvl w:val="2"/>
    </w:pPr>
    <w:rPr>
      <w:rFonts w:ascii="Calibri" w:cs="Calibri" w:eastAsia="Calibri" w:hAnsi="Calibri"/>
      <w:b/>
      <w:bCs/>
      <w:i w:val="false"/>
      <w:iCs w:val="false"/>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d064bb10c8c08bb8601927ba46e420689e6ff35.png"/><Relationship Id="rId10" Type="http://schemas.openxmlformats.org/officeDocument/2006/relationships/image" Target="media/207fbf27af71fc43e1dd34f82a835bd9caeeaf6f.png"/><Relationship Id="rId11" Type="http://schemas.openxmlformats.org/officeDocument/2006/relationships/image" Target="media/b1bb5bafa8d1d2e9ef14c8955a44931fae003bf6.png"/><Relationship Id="rId12" Type="http://schemas.openxmlformats.org/officeDocument/2006/relationships/image" Target="media/d86ec8d3e36f05b3f82a7d02730c30ae0315a39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2026-06-18T01:41:35.089Z</dcterms:created>
  <dcterms:modified xsi:type="dcterms:W3CDTF">2026-06-18T01:41:35.090Z</dcterms:modified>
</cp:coreProperties>
</file>

<file path=docProps/custom.xml><?xml version="1.0" encoding="utf-8"?>
<Properties xmlns="http://schemas.openxmlformats.org/officeDocument/2006/custom-properties" xmlns:vt="http://schemas.openxmlformats.org/officeDocument/2006/docPropsVTypes"/>
</file>