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95668" w14:textId="67F1BCDC" w:rsidR="00A76038" w:rsidRPr="00A76038" w:rsidRDefault="005C2295" w:rsidP="00AE4C46">
      <w:pPr>
        <w:jc w:val="center"/>
      </w:pPr>
      <w:r>
        <w:rPr>
          <w:noProof/>
        </w:rPr>
        <w:drawing>
          <wp:inline distT="0" distB="0" distL="0" distR="0" wp14:anchorId="3FE72747" wp14:editId="40C481A3">
            <wp:extent cx="5972810" cy="24212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B62F" w14:textId="765D0ADA" w:rsidR="00C3390C" w:rsidRPr="006055FE" w:rsidRDefault="009620BA" w:rsidP="003710AA">
      <w:pPr>
        <w:pStyle w:val="Titre"/>
        <w:spacing w:before="360" w:after="360"/>
        <w:jc w:val="both"/>
        <w:rPr>
          <w:b/>
          <w:bCs/>
          <w:sz w:val="44"/>
          <w:szCs w:val="44"/>
        </w:rPr>
      </w:pPr>
      <w:r w:rsidRPr="006055FE">
        <w:rPr>
          <w:b/>
          <w:bCs/>
          <w:sz w:val="44"/>
          <w:szCs w:val="44"/>
        </w:rPr>
        <w:t xml:space="preserve">Join us for </w:t>
      </w:r>
      <w:r w:rsidR="00AE4C46" w:rsidRPr="006055FE">
        <w:rPr>
          <w:b/>
          <w:bCs/>
          <w:sz w:val="44"/>
          <w:szCs w:val="44"/>
        </w:rPr>
        <w:t xml:space="preserve">the </w:t>
      </w:r>
      <w:r w:rsidRPr="006055FE">
        <w:rPr>
          <w:b/>
          <w:bCs/>
          <w:sz w:val="44"/>
          <w:szCs w:val="44"/>
        </w:rPr>
        <w:t>exciting future in research and innovation!</w:t>
      </w:r>
    </w:p>
    <w:p w14:paraId="3CFA0AE4" w14:textId="43E73688" w:rsidR="00030FCF" w:rsidRPr="006055FE" w:rsidRDefault="00030FCF" w:rsidP="003710AA">
      <w:pPr>
        <w:spacing w:before="240" w:after="360"/>
        <w:jc w:val="both"/>
        <w:rPr>
          <w:b/>
          <w:bCs/>
          <w:color w:val="2E74B5" w:themeColor="accent5" w:themeShade="BF"/>
          <w:sz w:val="34"/>
          <w:szCs w:val="34"/>
        </w:rPr>
      </w:pPr>
      <w:r w:rsidRPr="006055FE">
        <w:rPr>
          <w:b/>
          <w:bCs/>
          <w:color w:val="2E74B5" w:themeColor="accent5" w:themeShade="BF"/>
          <w:sz w:val="34"/>
          <w:szCs w:val="34"/>
        </w:rPr>
        <w:t>Princip</w:t>
      </w:r>
      <w:r w:rsidR="006E630C" w:rsidRPr="006055FE">
        <w:rPr>
          <w:b/>
          <w:bCs/>
          <w:color w:val="2E74B5" w:themeColor="accent5" w:themeShade="BF"/>
          <w:sz w:val="34"/>
          <w:szCs w:val="34"/>
        </w:rPr>
        <w:t>al</w:t>
      </w:r>
      <w:r w:rsidRPr="006055FE">
        <w:rPr>
          <w:b/>
          <w:bCs/>
          <w:color w:val="2E74B5" w:themeColor="accent5" w:themeShade="BF"/>
          <w:sz w:val="34"/>
          <w:szCs w:val="34"/>
        </w:rPr>
        <w:t xml:space="preserve"> Scientist Posts at </w:t>
      </w:r>
      <w:r w:rsidR="008711E8" w:rsidRPr="006055FE">
        <w:rPr>
          <w:b/>
          <w:bCs/>
          <w:color w:val="2E74B5" w:themeColor="accent5" w:themeShade="BF"/>
          <w:sz w:val="34"/>
          <w:szCs w:val="34"/>
        </w:rPr>
        <w:t xml:space="preserve">the </w:t>
      </w:r>
      <w:r w:rsidRPr="006055FE">
        <w:rPr>
          <w:b/>
          <w:bCs/>
          <w:color w:val="2E74B5" w:themeColor="accent5" w:themeShade="BF"/>
          <w:sz w:val="34"/>
          <w:szCs w:val="34"/>
        </w:rPr>
        <w:t xml:space="preserve">Qatar Computing Research Institute </w:t>
      </w:r>
    </w:p>
    <w:p w14:paraId="3EFBDB2C" w14:textId="543A83D3" w:rsidR="006F3450" w:rsidRDefault="009620BA" w:rsidP="00212CCE">
      <w:pPr>
        <w:jc w:val="both"/>
      </w:pPr>
      <w:r w:rsidRPr="003710AA">
        <w:rPr>
          <w:b/>
          <w:bCs/>
        </w:rPr>
        <w:t>The Arabic Language Technologies</w:t>
      </w:r>
      <w:r>
        <w:t xml:space="preserve"> </w:t>
      </w:r>
      <w:r w:rsidRPr="003710AA">
        <w:rPr>
          <w:b/>
          <w:bCs/>
        </w:rPr>
        <w:t>(ALT) Group</w:t>
      </w:r>
      <w:r>
        <w:t xml:space="preserve"> at the </w:t>
      </w:r>
      <w:r w:rsidRPr="003710AA">
        <w:rPr>
          <w:b/>
          <w:bCs/>
        </w:rPr>
        <w:t>Qatar Computing Research Institute</w:t>
      </w:r>
      <w:r>
        <w:t xml:space="preserve"> </w:t>
      </w:r>
      <w:r w:rsidRPr="003710AA">
        <w:rPr>
          <w:b/>
          <w:bCs/>
        </w:rPr>
        <w:t>(QCRI)</w:t>
      </w:r>
      <w:r>
        <w:t xml:space="preserve"> is </w:t>
      </w:r>
      <w:r w:rsidR="006F3450">
        <w:t>launch</w:t>
      </w:r>
      <w:r w:rsidR="008711E8">
        <w:t>ing</w:t>
      </w:r>
      <w:r w:rsidR="006F3450">
        <w:t xml:space="preserve"> </w:t>
      </w:r>
      <w:r>
        <w:t xml:space="preserve">new initiatives in research, engineering and incubation of products and </w:t>
      </w:r>
      <w:r w:rsidR="006F3450">
        <w:t>services</w:t>
      </w:r>
      <w:r>
        <w:t xml:space="preserve">. </w:t>
      </w:r>
      <w:r w:rsidR="005D2B12">
        <w:t>We are</w:t>
      </w:r>
      <w:r>
        <w:t xml:space="preserve"> looking for</w:t>
      </w:r>
      <w:r w:rsidR="006F3450">
        <w:t xml:space="preserve"> experts</w:t>
      </w:r>
      <w:r>
        <w:t xml:space="preserve"> in machine learning, deep learning, computational </w:t>
      </w:r>
      <w:proofErr w:type="gramStart"/>
      <w:r>
        <w:t>linguistics</w:t>
      </w:r>
      <w:proofErr w:type="gramEnd"/>
      <w:r>
        <w:t xml:space="preserve"> and NLP to join the </w:t>
      </w:r>
      <w:r w:rsidR="006F3450">
        <w:t xml:space="preserve">ALT </w:t>
      </w:r>
      <w:r>
        <w:t xml:space="preserve">team </w:t>
      </w:r>
      <w:r w:rsidR="006F3450">
        <w:t xml:space="preserve">as </w:t>
      </w:r>
      <w:r w:rsidR="00CB2699" w:rsidRPr="003710AA">
        <w:rPr>
          <w:b/>
          <w:bCs/>
        </w:rPr>
        <w:t>Principal</w:t>
      </w:r>
      <w:r w:rsidRPr="003710AA">
        <w:rPr>
          <w:b/>
          <w:bCs/>
        </w:rPr>
        <w:t xml:space="preserve"> Scientists</w:t>
      </w:r>
      <w:r w:rsidR="002A04B2">
        <w:t>,</w:t>
      </w:r>
      <w:r w:rsidR="006F3450">
        <w:t xml:space="preserve"> </w:t>
      </w:r>
      <w:r w:rsidR="005D2B12">
        <w:t>to</w:t>
      </w:r>
      <w:r w:rsidR="006F3450">
        <w:t xml:space="preserve"> lead projects and take research in exciting new directions. Being familiar with Arabic languages is beneficial but not a pre-requisite.</w:t>
      </w:r>
    </w:p>
    <w:p w14:paraId="406F06F1" w14:textId="71E6E7A0" w:rsidR="006F3450" w:rsidRDefault="006F3450" w:rsidP="00212CCE">
      <w:pPr>
        <w:jc w:val="both"/>
        <w:rPr>
          <w:rFonts w:cstheme="minorHAnsi"/>
        </w:rPr>
      </w:pPr>
      <w:r w:rsidRPr="00363E92">
        <w:rPr>
          <w:rFonts w:cstheme="minorHAnsi"/>
        </w:rPr>
        <w:t xml:space="preserve">If interested, </w:t>
      </w:r>
      <w:r w:rsidRPr="00030FCF">
        <w:rPr>
          <w:rFonts w:cstheme="minorHAnsi"/>
          <w:shd w:val="clear" w:color="auto" w:fill="FFFFFF"/>
        </w:rPr>
        <w:t xml:space="preserve">contact us at </w:t>
      </w:r>
      <w:hyperlink r:id="rId9" w:history="1">
        <w:r w:rsidRPr="004C78AE">
          <w:rPr>
            <w:rStyle w:val="Lienhypertexte"/>
            <w:rFonts w:cstheme="minorHAnsi"/>
            <w:color w:val="2E74B5" w:themeColor="accent5" w:themeShade="BF"/>
            <w:shd w:val="clear" w:color="auto" w:fill="FFFFFF"/>
          </w:rPr>
          <w:t>jobs@qcri.org</w:t>
        </w:r>
      </w:hyperlink>
      <w:r w:rsidRPr="00363E92">
        <w:rPr>
          <w:rFonts w:cstheme="minorHAnsi"/>
        </w:rPr>
        <w:t xml:space="preserve"> with a subject header </w:t>
      </w:r>
      <w:r w:rsidR="005D2B12">
        <w:rPr>
          <w:rFonts w:cstheme="minorHAnsi"/>
        </w:rPr>
        <w:t>“</w:t>
      </w:r>
      <w:r w:rsidRPr="00363E92">
        <w:rPr>
          <w:rFonts w:cstheme="minorHAnsi"/>
        </w:rPr>
        <w:t>ALT Scientist Application</w:t>
      </w:r>
      <w:r w:rsidR="005D2B12">
        <w:rPr>
          <w:rFonts w:cstheme="minorHAnsi"/>
        </w:rPr>
        <w:t xml:space="preserve">” and a brief description of </w:t>
      </w:r>
      <w:r w:rsidR="008711E8">
        <w:rPr>
          <w:rFonts w:cstheme="minorHAnsi"/>
        </w:rPr>
        <w:t xml:space="preserve">how your interests and aspirations align with our needs. </w:t>
      </w:r>
      <w:r w:rsidR="005D2B12">
        <w:rPr>
          <w:rFonts w:cstheme="minorHAnsi"/>
        </w:rPr>
        <w:t>Please attach your CV with a publication list</w:t>
      </w:r>
      <w:r w:rsidR="00A27FB2">
        <w:rPr>
          <w:rFonts w:cstheme="minorHAnsi"/>
        </w:rPr>
        <w:t xml:space="preserve"> and highlight three recent papers </w:t>
      </w:r>
      <w:r w:rsidR="00D049E6">
        <w:rPr>
          <w:rFonts w:cstheme="minorHAnsi"/>
        </w:rPr>
        <w:t xml:space="preserve">or projects </w:t>
      </w:r>
      <w:r w:rsidR="00A27FB2">
        <w:rPr>
          <w:rFonts w:cstheme="minorHAnsi"/>
        </w:rPr>
        <w:t xml:space="preserve">that best represent your achievements. </w:t>
      </w:r>
      <w:r w:rsidR="005D2B12">
        <w:rPr>
          <w:rFonts w:cstheme="minorHAnsi"/>
        </w:rPr>
        <w:t xml:space="preserve">  </w:t>
      </w:r>
    </w:p>
    <w:p w14:paraId="2B4EF9A0" w14:textId="2DED9D8F" w:rsidR="005D2B12" w:rsidRDefault="005D2B12" w:rsidP="00212CCE">
      <w:pPr>
        <w:jc w:val="both"/>
        <w:rPr>
          <w:rFonts w:cstheme="minorHAnsi"/>
        </w:rPr>
      </w:pPr>
      <w:r>
        <w:rPr>
          <w:rFonts w:cstheme="minorHAnsi"/>
        </w:rPr>
        <w:t xml:space="preserve">We encourage </w:t>
      </w:r>
      <w:r w:rsidR="002A04B2">
        <w:rPr>
          <w:rFonts w:cstheme="minorHAnsi"/>
        </w:rPr>
        <w:t xml:space="preserve">you to send </w:t>
      </w:r>
      <w:r>
        <w:rPr>
          <w:rFonts w:cstheme="minorHAnsi"/>
        </w:rPr>
        <w:t xml:space="preserve">your information as soon as possible. We </w:t>
      </w:r>
      <w:r w:rsidR="002A04B2">
        <w:rPr>
          <w:rFonts w:cstheme="minorHAnsi"/>
        </w:rPr>
        <w:t>will</w:t>
      </w:r>
      <w:r w:rsidR="008711E8">
        <w:rPr>
          <w:rFonts w:cstheme="minorHAnsi"/>
        </w:rPr>
        <w:t xml:space="preserve"> </w:t>
      </w:r>
      <w:r w:rsidR="00310B4F">
        <w:rPr>
          <w:rFonts w:cstheme="minorHAnsi"/>
        </w:rPr>
        <w:t>review</w:t>
      </w:r>
      <w:r w:rsidR="008711E8">
        <w:rPr>
          <w:rFonts w:cstheme="minorHAnsi"/>
        </w:rPr>
        <w:t xml:space="preserve"> applications </w:t>
      </w:r>
      <w:r w:rsidR="00310B4F">
        <w:rPr>
          <w:rFonts w:cstheme="minorHAnsi"/>
        </w:rPr>
        <w:t>as the</w:t>
      </w:r>
      <w:r w:rsidR="00966357">
        <w:rPr>
          <w:rFonts w:cstheme="minorHAnsi"/>
        </w:rPr>
        <w:t>y</w:t>
      </w:r>
      <w:r w:rsidR="00310B4F">
        <w:rPr>
          <w:rFonts w:cstheme="minorHAnsi"/>
        </w:rPr>
        <w:t xml:space="preserve"> arrive, starting </w:t>
      </w:r>
      <w:r w:rsidR="008711E8">
        <w:rPr>
          <w:rFonts w:cstheme="minorHAnsi"/>
        </w:rPr>
        <w:t xml:space="preserve">from </w:t>
      </w:r>
      <w:r w:rsidR="00A27FB2">
        <w:rPr>
          <w:rFonts w:cstheme="minorHAnsi"/>
        </w:rPr>
        <w:t>9</w:t>
      </w:r>
      <w:r>
        <w:rPr>
          <w:rFonts w:cstheme="minorHAnsi"/>
        </w:rPr>
        <w:t xml:space="preserve"> May 2022</w:t>
      </w:r>
      <w:r w:rsidR="002A04B2">
        <w:rPr>
          <w:rFonts w:cstheme="minorHAnsi"/>
        </w:rPr>
        <w:t>,</w:t>
      </w:r>
      <w:r>
        <w:rPr>
          <w:rFonts w:cstheme="minorHAnsi"/>
        </w:rPr>
        <w:t xml:space="preserve"> and fill the position</w:t>
      </w:r>
      <w:r w:rsidR="002A04B2">
        <w:rPr>
          <w:rFonts w:cstheme="minorHAnsi"/>
        </w:rPr>
        <w:t>s</w:t>
      </w:r>
      <w:r>
        <w:rPr>
          <w:rFonts w:cstheme="minorHAnsi"/>
        </w:rPr>
        <w:t xml:space="preserve"> as we find</w:t>
      </w:r>
      <w:r w:rsidR="002A04B2">
        <w:rPr>
          <w:rFonts w:cstheme="minorHAnsi"/>
        </w:rPr>
        <w:t xml:space="preserve"> suitable candidates. </w:t>
      </w:r>
      <w:r w:rsidR="00086B51">
        <w:rPr>
          <w:rFonts w:cstheme="minorHAnsi"/>
        </w:rPr>
        <w:t xml:space="preserve">If your application is considered, we will contact you promptly. </w:t>
      </w:r>
      <w:r w:rsidR="00310B4F">
        <w:rPr>
          <w:rFonts w:cstheme="minorHAnsi"/>
        </w:rPr>
        <w:t xml:space="preserve">Otherwise, we will retain your information for future positions, unless you advise us differently. </w:t>
      </w:r>
    </w:p>
    <w:p w14:paraId="042FF80D" w14:textId="0E3C0EA3" w:rsidR="002A04B2" w:rsidRPr="00A47F7F" w:rsidRDefault="002A04B2" w:rsidP="00212CCE">
      <w:pPr>
        <w:spacing w:after="0"/>
        <w:jc w:val="both"/>
        <w:rPr>
          <w:rFonts w:cstheme="minorHAnsi"/>
          <w:i/>
          <w:iCs/>
          <w:color w:val="2E74B5" w:themeColor="accent5" w:themeShade="BF"/>
          <w:sz w:val="24"/>
          <w:szCs w:val="24"/>
        </w:rPr>
      </w:pPr>
      <w:r w:rsidRPr="00A47F7F">
        <w:rPr>
          <w:rFonts w:cstheme="minorHAnsi"/>
          <w:i/>
          <w:iCs/>
          <w:color w:val="2E74B5" w:themeColor="accent5" w:themeShade="BF"/>
          <w:sz w:val="24"/>
          <w:szCs w:val="24"/>
        </w:rPr>
        <w:t xml:space="preserve">About the team </w:t>
      </w:r>
    </w:p>
    <w:p w14:paraId="66A0EB3C" w14:textId="10D05E14" w:rsidR="008F4FF6" w:rsidRDefault="002A04B2" w:rsidP="00212CCE">
      <w:pPr>
        <w:jc w:val="both"/>
        <w:rPr>
          <w:rFonts w:cstheme="minorHAnsi"/>
        </w:rPr>
      </w:pPr>
      <w:r>
        <w:rPr>
          <w:rFonts w:cstheme="minorHAnsi"/>
        </w:rPr>
        <w:t>ALT Group was formed in 2011</w:t>
      </w:r>
      <w:r w:rsidR="003F5EDD">
        <w:rPr>
          <w:rFonts w:cstheme="minorHAnsi"/>
        </w:rPr>
        <w:t xml:space="preserve"> as a </w:t>
      </w:r>
      <w:r w:rsidRPr="002A04B2">
        <w:rPr>
          <w:rFonts w:cstheme="minorHAnsi"/>
        </w:rPr>
        <w:t xml:space="preserve">flagship </w:t>
      </w:r>
      <w:r w:rsidR="00310B4F">
        <w:rPr>
          <w:rFonts w:cstheme="minorHAnsi"/>
        </w:rPr>
        <w:t xml:space="preserve">QCRI </w:t>
      </w:r>
      <w:r w:rsidRPr="002A04B2">
        <w:rPr>
          <w:rFonts w:cstheme="minorHAnsi"/>
        </w:rPr>
        <w:t>research initiative, addressing challenging problems in</w:t>
      </w:r>
      <w:r w:rsidR="003F5EDD">
        <w:rPr>
          <w:rFonts w:cstheme="minorHAnsi"/>
        </w:rPr>
        <w:t xml:space="preserve"> </w:t>
      </w:r>
      <w:r w:rsidR="00CF6679">
        <w:rPr>
          <w:rFonts w:cstheme="minorHAnsi"/>
        </w:rPr>
        <w:t xml:space="preserve">machine learning, </w:t>
      </w:r>
      <w:r w:rsidR="003F5EDD">
        <w:rPr>
          <w:rFonts w:cstheme="minorHAnsi"/>
        </w:rPr>
        <w:t xml:space="preserve">computational </w:t>
      </w:r>
      <w:proofErr w:type="gramStart"/>
      <w:r w:rsidR="003F5EDD">
        <w:rPr>
          <w:rFonts w:cstheme="minorHAnsi"/>
        </w:rPr>
        <w:t>linguistics</w:t>
      </w:r>
      <w:proofErr w:type="gramEnd"/>
      <w:r w:rsidR="003F5EDD">
        <w:rPr>
          <w:rFonts w:cstheme="minorHAnsi"/>
        </w:rPr>
        <w:t xml:space="preserve"> and NLP</w:t>
      </w:r>
      <w:r w:rsidR="00066A57">
        <w:rPr>
          <w:rFonts w:cstheme="minorHAnsi"/>
        </w:rPr>
        <w:t xml:space="preserve"> </w:t>
      </w:r>
      <w:r w:rsidR="00310B4F">
        <w:rPr>
          <w:rFonts w:cstheme="minorHAnsi"/>
        </w:rPr>
        <w:t xml:space="preserve">in the context of </w:t>
      </w:r>
      <w:r w:rsidR="00066A57">
        <w:rPr>
          <w:rFonts w:cstheme="minorHAnsi"/>
        </w:rPr>
        <w:t xml:space="preserve">machine translation, </w:t>
      </w:r>
      <w:r w:rsidR="00D569E1">
        <w:rPr>
          <w:rFonts w:cstheme="minorHAnsi"/>
        </w:rPr>
        <w:t>Arabic NLP stack, multi-lingual speech processing, model interpretability</w:t>
      </w:r>
      <w:r w:rsidR="00283F63">
        <w:rPr>
          <w:rFonts w:cstheme="minorHAnsi"/>
        </w:rPr>
        <w:t>,</w:t>
      </w:r>
      <w:r w:rsidR="00155209">
        <w:rPr>
          <w:rFonts w:cstheme="minorHAnsi"/>
        </w:rPr>
        <w:t xml:space="preserve"> and fake news</w:t>
      </w:r>
      <w:r w:rsidR="00310B4F">
        <w:rPr>
          <w:rFonts w:cstheme="minorHAnsi"/>
        </w:rPr>
        <w:t xml:space="preserve"> detection</w:t>
      </w:r>
      <w:r w:rsidR="00155209">
        <w:rPr>
          <w:rFonts w:cstheme="minorHAnsi"/>
        </w:rPr>
        <w:t xml:space="preserve">. </w:t>
      </w:r>
      <w:r w:rsidR="008F4FF6">
        <w:rPr>
          <w:rFonts w:cstheme="minorHAnsi"/>
        </w:rPr>
        <w:t>Our</w:t>
      </w:r>
      <w:r w:rsidR="003F5EDD">
        <w:rPr>
          <w:rFonts w:cstheme="minorHAnsi"/>
        </w:rPr>
        <w:t xml:space="preserve"> team has become </w:t>
      </w:r>
      <w:r w:rsidR="00CF6679">
        <w:rPr>
          <w:rFonts w:cstheme="minorHAnsi"/>
        </w:rPr>
        <w:t xml:space="preserve">well </w:t>
      </w:r>
      <w:r w:rsidR="003F5EDD">
        <w:rPr>
          <w:rFonts w:cstheme="minorHAnsi"/>
        </w:rPr>
        <w:t xml:space="preserve">known </w:t>
      </w:r>
      <w:r w:rsidR="00CF6679">
        <w:rPr>
          <w:rFonts w:cstheme="minorHAnsi"/>
        </w:rPr>
        <w:t xml:space="preserve">in the research community for </w:t>
      </w:r>
      <w:r w:rsidR="008F4FF6">
        <w:rPr>
          <w:rFonts w:cstheme="minorHAnsi"/>
        </w:rPr>
        <w:t xml:space="preserve">our </w:t>
      </w:r>
      <w:r w:rsidR="00CF6679">
        <w:rPr>
          <w:rFonts w:cstheme="minorHAnsi"/>
        </w:rPr>
        <w:t>high-quality work and a</w:t>
      </w:r>
      <w:r w:rsidR="00966357">
        <w:rPr>
          <w:rFonts w:cstheme="minorHAnsi"/>
        </w:rPr>
        <w:t xml:space="preserve"> </w:t>
      </w:r>
      <w:r w:rsidR="00CF6679">
        <w:rPr>
          <w:rFonts w:cstheme="minorHAnsi"/>
        </w:rPr>
        <w:t>range of released tools and resources, including state-of-the-art techniques</w:t>
      </w:r>
      <w:r w:rsidR="008F4FF6">
        <w:rPr>
          <w:rFonts w:cstheme="minorHAnsi"/>
        </w:rPr>
        <w:t xml:space="preserve"> </w:t>
      </w:r>
      <w:r w:rsidR="00CF6679">
        <w:rPr>
          <w:rFonts w:cstheme="minorHAnsi"/>
        </w:rPr>
        <w:t xml:space="preserve">for </w:t>
      </w:r>
      <w:r w:rsidRPr="002A04B2">
        <w:rPr>
          <w:rFonts w:cstheme="minorHAnsi"/>
        </w:rPr>
        <w:t>processing Arabic texts and Arabic media</w:t>
      </w:r>
      <w:r w:rsidR="00CF6679">
        <w:rPr>
          <w:rFonts w:cstheme="minorHAnsi"/>
        </w:rPr>
        <w:t xml:space="preserve">. </w:t>
      </w:r>
      <w:r w:rsidR="008F4FF6">
        <w:rPr>
          <w:rFonts w:cstheme="minorHAnsi"/>
        </w:rPr>
        <w:t xml:space="preserve">Our research </w:t>
      </w:r>
      <w:r w:rsidR="00D049E6">
        <w:rPr>
          <w:rFonts w:cstheme="minorHAnsi"/>
        </w:rPr>
        <w:t xml:space="preserve">papers </w:t>
      </w:r>
      <w:r w:rsidR="008F4FF6">
        <w:rPr>
          <w:rFonts w:cstheme="minorHAnsi"/>
        </w:rPr>
        <w:t xml:space="preserve">and </w:t>
      </w:r>
      <w:r w:rsidR="00D049E6">
        <w:rPr>
          <w:rFonts w:cstheme="minorHAnsi"/>
        </w:rPr>
        <w:t>systems</w:t>
      </w:r>
      <w:r w:rsidR="008F4FF6">
        <w:rPr>
          <w:rFonts w:cstheme="minorHAnsi"/>
        </w:rPr>
        <w:t xml:space="preserve"> have been featured in top </w:t>
      </w:r>
      <w:r w:rsidRPr="002A04B2">
        <w:rPr>
          <w:rFonts w:cstheme="minorHAnsi"/>
        </w:rPr>
        <w:t>tier conferences and journals</w:t>
      </w:r>
      <w:r w:rsidR="008F4FF6">
        <w:rPr>
          <w:rFonts w:cstheme="minorHAnsi"/>
        </w:rPr>
        <w:t xml:space="preserve"> </w:t>
      </w:r>
      <w:r w:rsidR="00966357">
        <w:rPr>
          <w:rFonts w:cstheme="minorHAnsi"/>
        </w:rPr>
        <w:t>such as</w:t>
      </w:r>
      <w:r w:rsidRPr="002A04B2">
        <w:rPr>
          <w:rFonts w:cstheme="minorHAnsi"/>
        </w:rPr>
        <w:t xml:space="preserve"> ICLR, ACL, AAAI,</w:t>
      </w:r>
      <w:r w:rsidR="00460E5E">
        <w:rPr>
          <w:rFonts w:cstheme="minorHAnsi"/>
        </w:rPr>
        <w:t xml:space="preserve"> InterSpeech,</w:t>
      </w:r>
      <w:r w:rsidRPr="002A04B2">
        <w:rPr>
          <w:rFonts w:cstheme="minorHAnsi"/>
        </w:rPr>
        <w:t xml:space="preserve"> </w:t>
      </w:r>
      <w:r w:rsidR="00460E5E">
        <w:rPr>
          <w:rFonts w:cstheme="minorHAnsi"/>
        </w:rPr>
        <w:t xml:space="preserve">ICASSP, </w:t>
      </w:r>
      <w:r w:rsidR="008F4FF6">
        <w:rPr>
          <w:rFonts w:cstheme="minorHAnsi"/>
        </w:rPr>
        <w:t xml:space="preserve">and similar. </w:t>
      </w:r>
    </w:p>
    <w:p w14:paraId="1D3C26DC" w14:textId="13AFA26C" w:rsidR="008F4FF6" w:rsidRDefault="008F4FF6" w:rsidP="00212CCE">
      <w:pPr>
        <w:jc w:val="both"/>
      </w:pPr>
      <w:r>
        <w:rPr>
          <w:rFonts w:cstheme="minorHAnsi"/>
        </w:rPr>
        <w:t xml:space="preserve">We are now planning </w:t>
      </w:r>
      <w:r w:rsidR="00D049E6">
        <w:rPr>
          <w:rFonts w:cstheme="minorHAnsi"/>
        </w:rPr>
        <w:t xml:space="preserve">a </w:t>
      </w:r>
      <w:r>
        <w:rPr>
          <w:rFonts w:cstheme="minorHAnsi"/>
        </w:rPr>
        <w:t>new wave of i</w:t>
      </w:r>
      <w:r w:rsidR="002A04B2" w:rsidRPr="002A04B2">
        <w:rPr>
          <w:rFonts w:cstheme="minorHAnsi"/>
        </w:rPr>
        <w:t xml:space="preserve">nitiatives </w:t>
      </w:r>
      <w:r>
        <w:rPr>
          <w:rFonts w:cstheme="minorHAnsi"/>
        </w:rPr>
        <w:t>that combine</w:t>
      </w:r>
      <w:r w:rsidR="002A04B2" w:rsidRPr="002A04B2">
        <w:rPr>
          <w:rFonts w:cstheme="minorHAnsi"/>
        </w:rPr>
        <w:t xml:space="preserve"> research, engineering</w:t>
      </w:r>
      <w:r w:rsidR="00DE4922">
        <w:rPr>
          <w:rFonts w:cstheme="minorHAnsi"/>
        </w:rPr>
        <w:t>,</w:t>
      </w:r>
      <w:r w:rsidR="002A04B2" w:rsidRPr="002A04B2">
        <w:rPr>
          <w:rFonts w:cstheme="minorHAnsi"/>
        </w:rPr>
        <w:t xml:space="preserve"> and incubation </w:t>
      </w:r>
      <w:r>
        <w:rPr>
          <w:rFonts w:cstheme="minorHAnsi"/>
        </w:rPr>
        <w:t xml:space="preserve">of products and services </w:t>
      </w:r>
      <w:r w:rsidR="000F1511">
        <w:rPr>
          <w:rFonts w:cstheme="minorHAnsi"/>
        </w:rPr>
        <w:t xml:space="preserve">and enable us to </w:t>
      </w:r>
      <w:r>
        <w:rPr>
          <w:rFonts w:cstheme="minorHAnsi"/>
        </w:rPr>
        <w:t xml:space="preserve">broaden impact of our work. This is motivated by increased opportunities </w:t>
      </w:r>
      <w:r>
        <w:t>to apply advanced NLP, machine learning</w:t>
      </w:r>
      <w:r w:rsidR="00DE4922">
        <w:t>,</w:t>
      </w:r>
      <w:r>
        <w:t xml:space="preserve"> and deep learning techniques </w:t>
      </w:r>
      <w:r w:rsidR="002861F8">
        <w:t xml:space="preserve">to use scenarios across disciplines and industry sectors. </w:t>
      </w:r>
      <w:r w:rsidR="000F1511">
        <w:t xml:space="preserve"> </w:t>
      </w:r>
      <w:r w:rsidR="002861F8">
        <w:t xml:space="preserve">  </w:t>
      </w:r>
    </w:p>
    <w:p w14:paraId="496500EA" w14:textId="4E342F8B" w:rsidR="002A04B2" w:rsidRPr="00A47F7F" w:rsidRDefault="002A04B2" w:rsidP="00212CCE">
      <w:pPr>
        <w:spacing w:after="0"/>
        <w:jc w:val="both"/>
        <w:rPr>
          <w:rFonts w:cstheme="minorHAnsi"/>
          <w:i/>
          <w:iCs/>
          <w:color w:val="2E74B5" w:themeColor="accent5" w:themeShade="BF"/>
          <w:sz w:val="24"/>
          <w:szCs w:val="24"/>
        </w:rPr>
      </w:pPr>
      <w:r w:rsidRPr="00A47F7F">
        <w:rPr>
          <w:rFonts w:cstheme="minorHAnsi"/>
          <w:i/>
          <w:iCs/>
          <w:color w:val="2E74B5" w:themeColor="accent5" w:themeShade="BF"/>
          <w:sz w:val="24"/>
          <w:szCs w:val="24"/>
        </w:rPr>
        <w:t xml:space="preserve">About the position </w:t>
      </w:r>
    </w:p>
    <w:p w14:paraId="350EED43" w14:textId="53F6C69A" w:rsidR="002A04B2" w:rsidRDefault="002861F8" w:rsidP="00212CCE">
      <w:pPr>
        <w:jc w:val="both"/>
        <w:rPr>
          <w:rFonts w:cstheme="minorHAnsi"/>
        </w:rPr>
      </w:pPr>
      <w:r>
        <w:rPr>
          <w:rFonts w:cstheme="minorHAnsi"/>
        </w:rPr>
        <w:t xml:space="preserve">As a </w:t>
      </w:r>
      <w:r w:rsidR="00CB2699">
        <w:rPr>
          <w:rFonts w:cstheme="minorHAnsi"/>
        </w:rPr>
        <w:t>Principal</w:t>
      </w:r>
      <w:r>
        <w:rPr>
          <w:rFonts w:cstheme="minorHAnsi"/>
        </w:rPr>
        <w:t xml:space="preserve"> Scientist, you will shape new</w:t>
      </w:r>
      <w:r w:rsidR="000F1511">
        <w:rPr>
          <w:rFonts w:cstheme="minorHAnsi"/>
        </w:rPr>
        <w:t xml:space="preserve"> research</w:t>
      </w:r>
      <w:r>
        <w:rPr>
          <w:rFonts w:cstheme="minorHAnsi"/>
        </w:rPr>
        <w:t xml:space="preserve"> directions </w:t>
      </w:r>
      <w:r w:rsidR="00A949C9">
        <w:rPr>
          <w:rFonts w:cstheme="minorHAnsi"/>
        </w:rPr>
        <w:t>and</w:t>
      </w:r>
      <w:r>
        <w:rPr>
          <w:rFonts w:cstheme="minorHAnsi"/>
        </w:rPr>
        <w:t xml:space="preserve"> </w:t>
      </w:r>
      <w:r w:rsidR="008B57A4">
        <w:rPr>
          <w:rFonts w:cstheme="minorHAnsi"/>
        </w:rPr>
        <w:t>collaborat</w:t>
      </w:r>
      <w:r w:rsidR="00A949C9">
        <w:rPr>
          <w:rFonts w:cstheme="minorHAnsi"/>
        </w:rPr>
        <w:t>e</w:t>
      </w:r>
      <w:r>
        <w:rPr>
          <w:rFonts w:cstheme="minorHAnsi"/>
        </w:rPr>
        <w:t xml:space="preserve"> </w:t>
      </w:r>
      <w:r w:rsidR="00155209">
        <w:rPr>
          <w:rFonts w:cstheme="minorHAnsi"/>
        </w:rPr>
        <w:t>with</w:t>
      </w:r>
      <w:r>
        <w:rPr>
          <w:rFonts w:cstheme="minorHAnsi"/>
        </w:rPr>
        <w:t xml:space="preserve"> </w:t>
      </w:r>
      <w:r w:rsidR="00A949C9">
        <w:rPr>
          <w:rFonts w:cstheme="minorHAnsi"/>
        </w:rPr>
        <w:t xml:space="preserve">peer researchers and </w:t>
      </w:r>
      <w:r>
        <w:rPr>
          <w:rFonts w:cstheme="minorHAnsi"/>
        </w:rPr>
        <w:t xml:space="preserve">engineers </w:t>
      </w:r>
      <w:r w:rsidR="00AF5B8F">
        <w:rPr>
          <w:rFonts w:cstheme="minorHAnsi"/>
        </w:rPr>
        <w:t xml:space="preserve">on </w:t>
      </w:r>
      <w:r w:rsidR="003B634F">
        <w:rPr>
          <w:rFonts w:cstheme="minorHAnsi"/>
        </w:rPr>
        <w:t>develop</w:t>
      </w:r>
      <w:r w:rsidR="00AF5B8F">
        <w:rPr>
          <w:rFonts w:cstheme="minorHAnsi"/>
        </w:rPr>
        <w:t>ing</w:t>
      </w:r>
      <w:r w:rsidR="003B634F">
        <w:rPr>
          <w:rFonts w:cstheme="minorHAnsi"/>
        </w:rPr>
        <w:t>, evaluat</w:t>
      </w:r>
      <w:r w:rsidR="00AF5B8F">
        <w:rPr>
          <w:rFonts w:cstheme="minorHAnsi"/>
        </w:rPr>
        <w:t>ing</w:t>
      </w:r>
      <w:r w:rsidR="003B634F">
        <w:rPr>
          <w:rFonts w:cstheme="minorHAnsi"/>
        </w:rPr>
        <w:t>, publish</w:t>
      </w:r>
      <w:r w:rsidR="00AF5B8F">
        <w:rPr>
          <w:rFonts w:cstheme="minorHAnsi"/>
        </w:rPr>
        <w:t>ing</w:t>
      </w:r>
      <w:r w:rsidR="00DE4922">
        <w:rPr>
          <w:rFonts w:cstheme="minorHAnsi"/>
        </w:rPr>
        <w:t>,</w:t>
      </w:r>
      <w:r w:rsidR="003B634F">
        <w:rPr>
          <w:rFonts w:cstheme="minorHAnsi"/>
        </w:rPr>
        <w:t xml:space="preserve"> and demonstra</w:t>
      </w:r>
      <w:r w:rsidR="00AF5B8F">
        <w:rPr>
          <w:rFonts w:cstheme="minorHAnsi"/>
        </w:rPr>
        <w:t>ting methods and techn</w:t>
      </w:r>
      <w:r w:rsidR="00A949C9">
        <w:rPr>
          <w:rFonts w:cstheme="minorHAnsi"/>
        </w:rPr>
        <w:t xml:space="preserve">ologies </w:t>
      </w:r>
      <w:r w:rsidR="00AF5B8F">
        <w:rPr>
          <w:rFonts w:cstheme="minorHAnsi"/>
        </w:rPr>
        <w:t xml:space="preserve">that address challenging problems. </w:t>
      </w:r>
    </w:p>
    <w:p w14:paraId="7E630EBC" w14:textId="3D2DD2B8" w:rsidR="00D251E7" w:rsidRDefault="00672603" w:rsidP="00212CCE">
      <w:pPr>
        <w:jc w:val="both"/>
        <w:rPr>
          <w:rFonts w:cstheme="minorHAnsi"/>
        </w:rPr>
      </w:pPr>
      <w:r>
        <w:rPr>
          <w:rFonts w:cstheme="minorHAnsi"/>
        </w:rPr>
        <w:t>Depending on your interests, y</w:t>
      </w:r>
      <w:r w:rsidR="003B634F">
        <w:rPr>
          <w:rFonts w:cstheme="minorHAnsi"/>
        </w:rPr>
        <w:t xml:space="preserve">ou will </w:t>
      </w:r>
      <w:r>
        <w:rPr>
          <w:rFonts w:cstheme="minorHAnsi"/>
        </w:rPr>
        <w:t>have opportunities to</w:t>
      </w:r>
      <w:r w:rsidR="003B634F">
        <w:rPr>
          <w:rFonts w:cstheme="minorHAnsi"/>
        </w:rPr>
        <w:t xml:space="preserve"> work with incubation teams, to support development of concepts, design of products and services</w:t>
      </w:r>
      <w:r w:rsidR="00DE4922">
        <w:rPr>
          <w:rFonts w:cstheme="minorHAnsi"/>
        </w:rPr>
        <w:t>,</w:t>
      </w:r>
      <w:r w:rsidR="003B634F">
        <w:rPr>
          <w:rFonts w:cstheme="minorHAnsi"/>
        </w:rPr>
        <w:t xml:space="preserve"> </w:t>
      </w:r>
      <w:r w:rsidR="00A949C9">
        <w:rPr>
          <w:rFonts w:cstheme="minorHAnsi"/>
        </w:rPr>
        <w:t xml:space="preserve">and setting up commercial enterprises. </w:t>
      </w:r>
      <w:r w:rsidR="003B634F">
        <w:rPr>
          <w:rFonts w:cstheme="minorHAnsi"/>
        </w:rPr>
        <w:t xml:space="preserve">This will enable you to transform your research ideas into usable and </w:t>
      </w:r>
      <w:r w:rsidR="00A949C9">
        <w:rPr>
          <w:rFonts w:cstheme="minorHAnsi"/>
        </w:rPr>
        <w:t>impactful</w:t>
      </w:r>
      <w:r w:rsidR="003B634F">
        <w:rPr>
          <w:rFonts w:cstheme="minorHAnsi"/>
        </w:rPr>
        <w:t xml:space="preserve"> applications. </w:t>
      </w:r>
    </w:p>
    <w:p w14:paraId="62887363" w14:textId="618BE3D7" w:rsidR="00D251E7" w:rsidRDefault="00D251E7" w:rsidP="00212CCE">
      <w:pPr>
        <w:jc w:val="both"/>
        <w:rPr>
          <w:rFonts w:cstheme="minorHAnsi"/>
        </w:rPr>
      </w:pPr>
      <w:r w:rsidRPr="00D251E7">
        <w:rPr>
          <w:rFonts w:cstheme="minorHAnsi"/>
        </w:rPr>
        <w:t>The</w:t>
      </w:r>
      <w:r>
        <w:rPr>
          <w:rFonts w:cstheme="minorHAnsi"/>
        </w:rPr>
        <w:t xml:space="preserve"> role of a </w:t>
      </w:r>
      <w:r w:rsidRPr="00D251E7">
        <w:rPr>
          <w:rFonts w:cstheme="minorHAnsi"/>
        </w:rPr>
        <w:t xml:space="preserve">Principal Scientist </w:t>
      </w:r>
      <w:r>
        <w:rPr>
          <w:rFonts w:cstheme="minorHAnsi"/>
        </w:rPr>
        <w:t>is eq</w:t>
      </w:r>
      <w:r w:rsidRPr="00D251E7">
        <w:rPr>
          <w:rFonts w:cstheme="minorHAnsi"/>
        </w:rPr>
        <w:t xml:space="preserve">uivalent to </w:t>
      </w:r>
      <w:r w:rsidR="00A949C9">
        <w:rPr>
          <w:rFonts w:cstheme="minorHAnsi"/>
        </w:rPr>
        <w:t xml:space="preserve">a </w:t>
      </w:r>
      <w:r>
        <w:rPr>
          <w:rFonts w:cstheme="minorHAnsi"/>
        </w:rPr>
        <w:t xml:space="preserve">(full) </w:t>
      </w:r>
      <w:r w:rsidRPr="00D251E7">
        <w:rPr>
          <w:rFonts w:cstheme="minorHAnsi"/>
        </w:rPr>
        <w:t>Professor</w:t>
      </w:r>
      <w:r>
        <w:rPr>
          <w:rFonts w:cstheme="minorHAnsi"/>
        </w:rPr>
        <w:t xml:space="preserve"> </w:t>
      </w:r>
      <w:r w:rsidRPr="00D251E7">
        <w:rPr>
          <w:rFonts w:cstheme="minorHAnsi"/>
        </w:rPr>
        <w:t xml:space="preserve">role </w:t>
      </w:r>
      <w:r w:rsidR="00566066">
        <w:rPr>
          <w:rFonts w:cstheme="minorHAnsi"/>
        </w:rPr>
        <w:t xml:space="preserve">in </w:t>
      </w:r>
      <w:r>
        <w:rPr>
          <w:rFonts w:cstheme="minorHAnsi"/>
        </w:rPr>
        <w:t>academic in</w:t>
      </w:r>
      <w:r w:rsidRPr="00D251E7">
        <w:rPr>
          <w:rFonts w:cstheme="minorHAnsi"/>
        </w:rPr>
        <w:t>stitution</w:t>
      </w:r>
      <w:r>
        <w:rPr>
          <w:rFonts w:cstheme="minorHAnsi"/>
        </w:rPr>
        <w:t>s</w:t>
      </w:r>
      <w:r w:rsidR="00750D2A">
        <w:rPr>
          <w:rFonts w:cstheme="minorHAnsi"/>
        </w:rPr>
        <w:t xml:space="preserve"> </w:t>
      </w:r>
      <w:r w:rsidR="00750D2A" w:rsidRPr="00D251E7">
        <w:rPr>
          <w:rFonts w:cstheme="minorHAnsi"/>
        </w:rPr>
        <w:t xml:space="preserve">or </w:t>
      </w:r>
      <w:r w:rsidR="00A949C9">
        <w:rPr>
          <w:rFonts w:cstheme="minorHAnsi"/>
        </w:rPr>
        <w:t>senior</w:t>
      </w:r>
      <w:r w:rsidR="00750D2A">
        <w:rPr>
          <w:rFonts w:cstheme="minorHAnsi"/>
        </w:rPr>
        <w:t xml:space="preserve"> research roles in </w:t>
      </w:r>
      <w:r w:rsidR="00566066">
        <w:rPr>
          <w:rFonts w:cstheme="minorHAnsi"/>
        </w:rPr>
        <w:t>i</w:t>
      </w:r>
      <w:r w:rsidR="00750D2A" w:rsidRPr="00D251E7">
        <w:rPr>
          <w:rFonts w:cstheme="minorHAnsi"/>
        </w:rPr>
        <w:t>ndustry R&amp;D</w:t>
      </w:r>
      <w:r w:rsidR="00750D2A">
        <w:rPr>
          <w:rFonts w:cstheme="minorHAnsi"/>
        </w:rPr>
        <w:t xml:space="preserve"> </w:t>
      </w:r>
      <w:r w:rsidR="00566066">
        <w:rPr>
          <w:rFonts w:cstheme="minorHAnsi"/>
        </w:rPr>
        <w:t xml:space="preserve">labs </w:t>
      </w:r>
      <w:r w:rsidR="00A949C9">
        <w:rPr>
          <w:rFonts w:cstheme="minorHAnsi"/>
        </w:rPr>
        <w:t>and</w:t>
      </w:r>
      <w:r w:rsidR="00750D2A">
        <w:rPr>
          <w:rFonts w:cstheme="minorHAnsi"/>
        </w:rPr>
        <w:t xml:space="preserve"> institutes</w:t>
      </w:r>
      <w:r>
        <w:rPr>
          <w:rFonts w:cstheme="minorHAnsi"/>
        </w:rPr>
        <w:t xml:space="preserve">, </w:t>
      </w:r>
      <w:r w:rsidR="000C5DA8">
        <w:rPr>
          <w:rFonts w:cstheme="minorHAnsi"/>
        </w:rPr>
        <w:t>requiring</w:t>
      </w:r>
      <w:r>
        <w:rPr>
          <w:rFonts w:cstheme="minorHAnsi"/>
        </w:rPr>
        <w:t xml:space="preserve"> a proven </w:t>
      </w:r>
      <w:r w:rsidRPr="00D251E7">
        <w:rPr>
          <w:rFonts w:cstheme="minorHAnsi"/>
        </w:rPr>
        <w:t xml:space="preserve">track record </w:t>
      </w:r>
      <w:r w:rsidR="000C5DA8">
        <w:rPr>
          <w:rFonts w:cstheme="minorHAnsi"/>
        </w:rPr>
        <w:t>in</w:t>
      </w:r>
      <w:r w:rsidR="00566066">
        <w:rPr>
          <w:rFonts w:cstheme="minorHAnsi"/>
        </w:rPr>
        <w:t xml:space="preserve"> leading </w:t>
      </w:r>
      <w:r w:rsidR="00750D2A">
        <w:rPr>
          <w:rFonts w:cstheme="minorHAnsi"/>
        </w:rPr>
        <w:t>research</w:t>
      </w:r>
      <w:r w:rsidR="000C5DA8">
        <w:rPr>
          <w:rFonts w:cstheme="minorHAnsi"/>
        </w:rPr>
        <w:t xml:space="preserve">, </w:t>
      </w:r>
      <w:r w:rsidRPr="00D251E7">
        <w:rPr>
          <w:rFonts w:cstheme="minorHAnsi"/>
        </w:rPr>
        <w:t>publishing in top-tier</w:t>
      </w:r>
      <w:r w:rsidR="000C5DA8">
        <w:rPr>
          <w:rFonts w:cstheme="minorHAnsi"/>
        </w:rPr>
        <w:t xml:space="preserve"> conferences and journals, and </w:t>
      </w:r>
      <w:r w:rsidR="000C5DA8" w:rsidRPr="000C5DA8">
        <w:rPr>
          <w:rFonts w:cstheme="minorHAnsi"/>
        </w:rPr>
        <w:t>generat</w:t>
      </w:r>
      <w:r w:rsidR="000C5DA8">
        <w:rPr>
          <w:rFonts w:cstheme="minorHAnsi"/>
        </w:rPr>
        <w:t>ing</w:t>
      </w:r>
      <w:r w:rsidR="000C5DA8" w:rsidRPr="000C5DA8">
        <w:rPr>
          <w:rFonts w:cstheme="minorHAnsi"/>
        </w:rPr>
        <w:t xml:space="preserve"> intellectual property in the form of disclosures and patent</w:t>
      </w:r>
      <w:r w:rsidR="000C5DA8">
        <w:rPr>
          <w:rFonts w:cstheme="minorHAnsi"/>
        </w:rPr>
        <w:t>s.</w:t>
      </w:r>
    </w:p>
    <w:p w14:paraId="07780B1C" w14:textId="5C91C5EF" w:rsidR="00DB49E7" w:rsidRDefault="00DB49E7" w:rsidP="00212CCE">
      <w:pPr>
        <w:jc w:val="both"/>
        <w:rPr>
          <w:rFonts w:cstheme="minorHAnsi"/>
        </w:rPr>
      </w:pPr>
      <w:r w:rsidRPr="00DB49E7">
        <w:rPr>
          <w:rFonts w:cstheme="minorHAnsi"/>
        </w:rPr>
        <w:t xml:space="preserve">We offer a highly competitive compensation package including an attractive tax-free salary and additional benefits such </w:t>
      </w:r>
      <w:r>
        <w:rPr>
          <w:rFonts w:cstheme="minorHAnsi"/>
        </w:rPr>
        <w:t xml:space="preserve">as </w:t>
      </w:r>
      <w:r w:rsidRPr="00DB49E7">
        <w:rPr>
          <w:rFonts w:cstheme="minorHAnsi"/>
        </w:rPr>
        <w:t>accommodation</w:t>
      </w:r>
      <w:r>
        <w:rPr>
          <w:rFonts w:cstheme="minorHAnsi"/>
        </w:rPr>
        <w:t xml:space="preserve"> allowance,</w:t>
      </w:r>
      <w:r w:rsidRPr="00DB49E7">
        <w:rPr>
          <w:rFonts w:cstheme="minorHAnsi"/>
        </w:rPr>
        <w:t xml:space="preserve"> excellent medical insurance, and generous annual paid leave.</w:t>
      </w:r>
    </w:p>
    <w:p w14:paraId="55362A30" w14:textId="69291146" w:rsidR="002A04B2" w:rsidRPr="00A47F7F" w:rsidRDefault="002A04B2" w:rsidP="00212CCE">
      <w:pPr>
        <w:spacing w:after="0"/>
        <w:jc w:val="both"/>
        <w:rPr>
          <w:rFonts w:cstheme="minorHAnsi"/>
          <w:i/>
          <w:iCs/>
          <w:sz w:val="24"/>
          <w:szCs w:val="24"/>
        </w:rPr>
      </w:pPr>
      <w:r w:rsidRPr="00A47F7F">
        <w:rPr>
          <w:rFonts w:cstheme="minorHAnsi"/>
          <w:i/>
          <w:iCs/>
          <w:color w:val="2E74B5" w:themeColor="accent5" w:themeShade="BF"/>
          <w:sz w:val="24"/>
          <w:szCs w:val="24"/>
        </w:rPr>
        <w:t xml:space="preserve">About </w:t>
      </w:r>
      <w:r w:rsidR="00566066" w:rsidRPr="00A47F7F">
        <w:rPr>
          <w:rFonts w:cstheme="minorHAnsi"/>
          <w:i/>
          <w:iCs/>
          <w:color w:val="2E74B5" w:themeColor="accent5" w:themeShade="BF"/>
          <w:sz w:val="24"/>
          <w:szCs w:val="24"/>
        </w:rPr>
        <w:t>the work environment</w:t>
      </w:r>
    </w:p>
    <w:p w14:paraId="207C035A" w14:textId="41281D87" w:rsidR="00C87152" w:rsidRDefault="00980D92" w:rsidP="00212CCE">
      <w:pPr>
        <w:jc w:val="both"/>
      </w:pPr>
      <w:r>
        <w:t>Research work a</w:t>
      </w:r>
      <w:r w:rsidR="00980C5E">
        <w:t>t</w:t>
      </w:r>
      <w:r>
        <w:t xml:space="preserve"> QCRI is supported by research assistants, experienced research engineers</w:t>
      </w:r>
      <w:r w:rsidR="00980C5E">
        <w:t>,</w:t>
      </w:r>
      <w:r>
        <w:t xml:space="preserve"> and </w:t>
      </w:r>
      <w:r w:rsidR="00CB2699">
        <w:t>highly skilled</w:t>
      </w:r>
      <w:r>
        <w:t xml:space="preserve"> software engineer</w:t>
      </w:r>
      <w:r w:rsidR="00566066">
        <w:t>s</w:t>
      </w:r>
      <w:r>
        <w:t xml:space="preserve">. QCRI is equipped with a well-serviced state-of-the-art computing infrastructure with a capacity to run large experiments efficiently. </w:t>
      </w:r>
      <w:r w:rsidR="00C87152">
        <w:t xml:space="preserve">This has enabled ALT researchers to release and host </w:t>
      </w:r>
      <w:proofErr w:type="gramStart"/>
      <w:r w:rsidR="00C87152">
        <w:t>a number of</w:t>
      </w:r>
      <w:proofErr w:type="gramEnd"/>
      <w:r w:rsidR="00C87152">
        <w:t xml:space="preserve"> technology demonstrators and widely used tools, including: </w:t>
      </w:r>
    </w:p>
    <w:p w14:paraId="1746550F" w14:textId="11A10D39" w:rsidR="00C87152" w:rsidRDefault="00000000" w:rsidP="006055FE">
      <w:pPr>
        <w:pStyle w:val="Paragraphedeliste"/>
        <w:numPr>
          <w:ilvl w:val="0"/>
          <w:numId w:val="4"/>
        </w:numPr>
        <w:ind w:left="238" w:hanging="238"/>
        <w:jc w:val="both"/>
      </w:pPr>
      <w:hyperlink r:id="rId10" w:history="1">
        <w:r w:rsidR="00C87152" w:rsidRPr="00BA0460">
          <w:rPr>
            <w:rStyle w:val="Lienhypertexte"/>
            <w:b/>
            <w:bCs/>
            <w:color w:val="2E74B5" w:themeColor="accent5" w:themeShade="BF"/>
          </w:rPr>
          <w:t>Farasa</w:t>
        </w:r>
      </w:hyperlink>
      <w:r w:rsidR="00D543D3" w:rsidRPr="00A47F7F">
        <w:rPr>
          <w:b/>
          <w:bCs/>
          <w:color w:val="2E74B5" w:themeColor="accent5" w:themeShade="BF"/>
        </w:rPr>
        <w:t xml:space="preserve"> </w:t>
      </w:r>
      <w:r w:rsidR="00980C5E">
        <w:t>–</w:t>
      </w:r>
      <w:r w:rsidR="00D543D3">
        <w:t xml:space="preserve"> S</w:t>
      </w:r>
      <w:r w:rsidR="00C87152">
        <w:t xml:space="preserve">tate-of-the-art full-stack </w:t>
      </w:r>
      <w:r w:rsidR="00D543D3">
        <w:t xml:space="preserve">of </w:t>
      </w:r>
      <w:r w:rsidR="00C87152">
        <w:t>Arabic Language Processing</w:t>
      </w:r>
    </w:p>
    <w:p w14:paraId="095E4F7E" w14:textId="61A4700E" w:rsidR="00F06E5B" w:rsidRDefault="00000000" w:rsidP="006055FE">
      <w:pPr>
        <w:pStyle w:val="Paragraphedeliste"/>
        <w:numPr>
          <w:ilvl w:val="0"/>
          <w:numId w:val="4"/>
        </w:numPr>
        <w:ind w:left="238" w:hanging="238"/>
        <w:jc w:val="both"/>
      </w:pPr>
      <w:hyperlink r:id="rId11" w:history="1">
        <w:r w:rsidR="00F06E5B" w:rsidRPr="00BA0460">
          <w:rPr>
            <w:rStyle w:val="Lienhypertexte"/>
            <w:b/>
            <w:bCs/>
            <w:color w:val="2E74B5" w:themeColor="accent5" w:themeShade="BF"/>
          </w:rPr>
          <w:t>ASAD</w:t>
        </w:r>
      </w:hyperlink>
      <w:r w:rsidR="00F06E5B" w:rsidRPr="00BA0460">
        <w:rPr>
          <w:b/>
          <w:bCs/>
        </w:rPr>
        <w:t xml:space="preserve"> </w:t>
      </w:r>
      <w:r w:rsidR="00980C5E">
        <w:t xml:space="preserve">– </w:t>
      </w:r>
      <w:r w:rsidR="00F06E5B">
        <w:t xml:space="preserve">Arabic Social media Analytics and unDerstanding </w:t>
      </w:r>
      <w:proofErr w:type="gramStart"/>
      <w:r w:rsidR="00F06E5B">
        <w:t>toolkit</w:t>
      </w:r>
      <w:proofErr w:type="gramEnd"/>
      <w:r w:rsidR="00F06E5B">
        <w:t xml:space="preserve"> </w:t>
      </w:r>
      <w:r w:rsidR="00460E5E">
        <w:t xml:space="preserve"> </w:t>
      </w:r>
    </w:p>
    <w:p w14:paraId="05D36A5F" w14:textId="6901207F" w:rsidR="00F06E5B" w:rsidRPr="00030FCF" w:rsidRDefault="00000000" w:rsidP="006055FE">
      <w:pPr>
        <w:pStyle w:val="Paragraphedeliste"/>
        <w:numPr>
          <w:ilvl w:val="0"/>
          <w:numId w:val="4"/>
        </w:numPr>
        <w:ind w:left="238" w:hanging="238"/>
        <w:jc w:val="both"/>
      </w:pPr>
      <w:hyperlink r:id="rId12" w:history="1">
        <w:r w:rsidR="00F06E5B" w:rsidRPr="00A47F7F">
          <w:rPr>
            <w:rStyle w:val="Lienhypertexte"/>
            <w:b/>
            <w:bCs/>
            <w:color w:val="2E74B5" w:themeColor="accent5" w:themeShade="BF"/>
          </w:rPr>
          <w:t>Shaheen</w:t>
        </w:r>
      </w:hyperlink>
      <w:r w:rsidR="00F06E5B" w:rsidRPr="00030FCF">
        <w:t xml:space="preserve"> – Multi</w:t>
      </w:r>
      <w:r w:rsidR="00F06E5B">
        <w:t>-</w:t>
      </w:r>
      <w:r w:rsidR="00F06E5B" w:rsidRPr="00030FCF">
        <w:t>dialectal Arabic-English tra</w:t>
      </w:r>
      <w:r w:rsidR="00F06E5B">
        <w:t>nslation</w:t>
      </w:r>
      <w:r w:rsidR="00460E5E">
        <w:t xml:space="preserve"> service</w:t>
      </w:r>
    </w:p>
    <w:p w14:paraId="4AD62E84" w14:textId="34508E56" w:rsidR="00C87152" w:rsidRDefault="00000000" w:rsidP="006055FE">
      <w:pPr>
        <w:pStyle w:val="Paragraphedeliste"/>
        <w:numPr>
          <w:ilvl w:val="0"/>
          <w:numId w:val="4"/>
        </w:numPr>
        <w:ind w:left="238" w:hanging="238"/>
        <w:jc w:val="both"/>
      </w:pPr>
      <w:hyperlink r:id="rId13" w:history="1">
        <w:r w:rsidR="00C87152" w:rsidRPr="00A47F7F">
          <w:rPr>
            <w:rStyle w:val="Lienhypertexte"/>
            <w:b/>
            <w:bCs/>
            <w:color w:val="2E74B5" w:themeColor="accent5" w:themeShade="BF"/>
          </w:rPr>
          <w:t>Tanbih</w:t>
        </w:r>
      </w:hyperlink>
      <w:r w:rsidR="00C87152" w:rsidRPr="00A47F7F">
        <w:rPr>
          <w:b/>
          <w:bCs/>
          <w:color w:val="2E74B5" w:themeColor="accent5" w:themeShade="BF"/>
        </w:rPr>
        <w:t xml:space="preserve"> </w:t>
      </w:r>
      <w:r w:rsidR="00980C5E">
        <w:t>–</w:t>
      </w:r>
      <w:r w:rsidR="00460E5E">
        <w:t xml:space="preserve"> N</w:t>
      </w:r>
      <w:r w:rsidR="00C87152">
        <w:t>ews aggrega</w:t>
      </w:r>
      <w:r w:rsidR="00460E5E">
        <w:t>tion service detecting “</w:t>
      </w:r>
      <w:r w:rsidR="00C87152">
        <w:t>fake news”, disinformation, propaganda</w:t>
      </w:r>
      <w:r w:rsidR="006055FE">
        <w:t>,</w:t>
      </w:r>
      <w:r w:rsidR="00C87152">
        <w:t xml:space="preserve"> and media bias </w:t>
      </w:r>
    </w:p>
    <w:p w14:paraId="078A509D" w14:textId="665C2D53" w:rsidR="00C87152" w:rsidRDefault="00000000" w:rsidP="006055FE">
      <w:pPr>
        <w:pStyle w:val="Paragraphedeliste"/>
        <w:numPr>
          <w:ilvl w:val="0"/>
          <w:numId w:val="4"/>
        </w:numPr>
        <w:ind w:left="238" w:hanging="238"/>
        <w:jc w:val="both"/>
      </w:pPr>
      <w:hyperlink r:id="rId14" w:history="1">
        <w:r w:rsidR="00CB2699" w:rsidRPr="00A47F7F">
          <w:rPr>
            <w:rStyle w:val="Lienhypertexte"/>
            <w:b/>
            <w:bCs/>
            <w:color w:val="2E74B5" w:themeColor="accent5" w:themeShade="BF"/>
          </w:rPr>
          <w:t>NeuroX</w:t>
        </w:r>
      </w:hyperlink>
      <w:r w:rsidR="00CB2699">
        <w:t xml:space="preserve"> </w:t>
      </w:r>
      <w:r w:rsidR="00980C5E">
        <w:t>–</w:t>
      </w:r>
      <w:r w:rsidR="00460E5E">
        <w:t xml:space="preserve"> T</w:t>
      </w:r>
      <w:r w:rsidR="00C87152">
        <w:t xml:space="preserve">oolkit </w:t>
      </w:r>
      <w:r w:rsidR="00460E5E">
        <w:t xml:space="preserve">for model interpretability </w:t>
      </w:r>
    </w:p>
    <w:p w14:paraId="3B505FFA" w14:textId="7530A9FC" w:rsidR="00460E5E" w:rsidRDefault="00000000" w:rsidP="006055FE">
      <w:pPr>
        <w:pStyle w:val="Paragraphedeliste"/>
        <w:numPr>
          <w:ilvl w:val="0"/>
          <w:numId w:val="4"/>
        </w:numPr>
        <w:ind w:left="238" w:hanging="238"/>
        <w:jc w:val="both"/>
      </w:pPr>
      <w:hyperlink r:id="rId15" w:history="1">
        <w:r w:rsidR="00460E5E" w:rsidRPr="00A47F7F">
          <w:rPr>
            <w:rStyle w:val="Lienhypertexte"/>
            <w:b/>
            <w:bCs/>
            <w:color w:val="2E74B5" w:themeColor="accent5" w:themeShade="BF"/>
          </w:rPr>
          <w:t>QATS</w:t>
        </w:r>
      </w:hyperlink>
      <w:r w:rsidR="00460E5E" w:rsidRPr="00A47F7F">
        <w:rPr>
          <w:b/>
          <w:bCs/>
          <w:color w:val="2E74B5" w:themeColor="accent5" w:themeShade="BF"/>
        </w:rPr>
        <w:t xml:space="preserve"> </w:t>
      </w:r>
      <w:r w:rsidR="00460E5E">
        <w:t xml:space="preserve">– Multi-dialectal Arabic Transcription technology, now part of </w:t>
      </w:r>
      <w:hyperlink r:id="rId16" w:history="1">
        <w:r w:rsidR="00460E5E" w:rsidRPr="00BA0460">
          <w:rPr>
            <w:rStyle w:val="Lienhypertexte"/>
            <w:b/>
            <w:bCs/>
            <w:color w:val="2E74B5" w:themeColor="accent5" w:themeShade="BF"/>
          </w:rPr>
          <w:t>Kanari AI</w:t>
        </w:r>
      </w:hyperlink>
      <w:r w:rsidR="00980C5E">
        <w:t xml:space="preserve"> </w:t>
      </w:r>
    </w:p>
    <w:p w14:paraId="67DECE2C" w14:textId="636620ED" w:rsidR="00C87152" w:rsidRPr="00A47F7F" w:rsidRDefault="00000000" w:rsidP="006055FE">
      <w:pPr>
        <w:pStyle w:val="Paragraphedeliste"/>
        <w:numPr>
          <w:ilvl w:val="0"/>
          <w:numId w:val="4"/>
        </w:numPr>
        <w:ind w:left="238" w:hanging="238"/>
        <w:jc w:val="both"/>
        <w:rPr>
          <w:b/>
          <w:bCs/>
          <w:color w:val="2E74B5" w:themeColor="accent5" w:themeShade="BF"/>
        </w:rPr>
      </w:pPr>
      <w:hyperlink r:id="rId17" w:history="1">
        <w:r w:rsidR="00C87152" w:rsidRPr="00A47F7F">
          <w:rPr>
            <w:rStyle w:val="Lienhypertexte"/>
            <w:b/>
            <w:bCs/>
            <w:color w:val="2E74B5" w:themeColor="accent5" w:themeShade="BF"/>
          </w:rPr>
          <w:t>Arabic Text to Speech</w:t>
        </w:r>
      </w:hyperlink>
      <w:r w:rsidR="00980C5E">
        <w:rPr>
          <w:b/>
          <w:bCs/>
          <w:color w:val="2E74B5" w:themeColor="accent5" w:themeShade="BF"/>
        </w:rPr>
        <w:t xml:space="preserve"> </w:t>
      </w:r>
      <w:r w:rsidR="00980C5E">
        <w:t xml:space="preserve">– Arabic speech synthesis. </w:t>
      </w:r>
    </w:p>
    <w:p w14:paraId="43ED0C76" w14:textId="1E6D7A77" w:rsidR="00980D92" w:rsidRDefault="00980D92" w:rsidP="00212CCE">
      <w:pPr>
        <w:jc w:val="both"/>
      </w:pPr>
      <w:r>
        <w:t>Located within Education City, QCRI is in the proximity of university campuses and two research institutes, with opportunities for cross-disciplinary and multi-disciplinary research. Computer science departments at the Carnegie Mellon Qatar, H</w:t>
      </w:r>
      <w:r w:rsidR="00BA0460">
        <w:t>amad bin Khalifa University (H</w:t>
      </w:r>
      <w:r>
        <w:t>BKU</w:t>
      </w:r>
      <w:r w:rsidR="00BA0460">
        <w:t>),</w:t>
      </w:r>
      <w:r>
        <w:t xml:space="preserve"> and Qatar University provide a steady influx of interns who are eager to work on projects. </w:t>
      </w:r>
    </w:p>
    <w:p w14:paraId="63174A25" w14:textId="1EE57E27" w:rsidR="00980D92" w:rsidRPr="00A47F7F" w:rsidRDefault="00980D92" w:rsidP="00212CCE">
      <w:pPr>
        <w:spacing w:after="0"/>
        <w:jc w:val="both"/>
        <w:rPr>
          <w:rFonts w:cstheme="minorHAnsi"/>
          <w:i/>
          <w:iCs/>
          <w:color w:val="2E74B5" w:themeColor="accent5" w:themeShade="BF"/>
          <w:sz w:val="24"/>
          <w:szCs w:val="24"/>
        </w:rPr>
      </w:pPr>
      <w:r w:rsidRPr="00A47F7F">
        <w:rPr>
          <w:rFonts w:cstheme="minorHAnsi"/>
          <w:i/>
          <w:iCs/>
          <w:color w:val="2E74B5" w:themeColor="accent5" w:themeShade="BF"/>
          <w:sz w:val="24"/>
          <w:szCs w:val="24"/>
        </w:rPr>
        <w:t>About life in Qatar</w:t>
      </w:r>
    </w:p>
    <w:p w14:paraId="5C794F6A" w14:textId="68E0F008" w:rsidR="00980D92" w:rsidRDefault="00AE4C46" w:rsidP="00212CCE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35D5BB" wp14:editId="28769516">
            <wp:simplePos x="0" y="0"/>
            <wp:positionH relativeFrom="column">
              <wp:posOffset>3810</wp:posOffset>
            </wp:positionH>
            <wp:positionV relativeFrom="paragraph">
              <wp:posOffset>779780</wp:posOffset>
            </wp:positionV>
            <wp:extent cx="5976000" cy="1811677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000" cy="1811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D92">
        <w:t>With a large international community living and working in Qatar, there are many opportunit</w:t>
      </w:r>
      <w:r w:rsidR="00D251E7">
        <w:t>ies</w:t>
      </w:r>
      <w:r w:rsidR="00980D92">
        <w:t xml:space="preserve"> to learn about </w:t>
      </w:r>
      <w:r w:rsidR="00D251E7">
        <w:t xml:space="preserve">and experience different </w:t>
      </w:r>
      <w:r w:rsidR="00980D92">
        <w:t xml:space="preserve">customs and cultures. Doha is a cosmopolitan city which caters for a diverse population and makes everyone feel at home. By respecting cultural and religious freedoms, </w:t>
      </w:r>
      <w:r w:rsidR="00D251E7">
        <w:t>it</w:t>
      </w:r>
      <w:r w:rsidR="00980D92">
        <w:t xml:space="preserve"> welcomes people from all over the world</w:t>
      </w:r>
      <w:r w:rsidR="00D251E7">
        <w:t xml:space="preserve">. </w:t>
      </w:r>
      <w:r w:rsidR="00980D92">
        <w:t xml:space="preserve"> </w:t>
      </w:r>
    </w:p>
    <w:p w14:paraId="4BCB6823" w14:textId="0E1EF5CC" w:rsidR="00762CFE" w:rsidRPr="00D22730" w:rsidRDefault="00762CFE" w:rsidP="00212CCE">
      <w:pPr>
        <w:jc w:val="both"/>
      </w:pPr>
    </w:p>
    <w:sectPr w:rsidR="00762CFE" w:rsidRPr="00D22730" w:rsidSect="006055FE">
      <w:pgSz w:w="12242" w:h="15842" w:code="1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171C3"/>
    <w:multiLevelType w:val="hybridMultilevel"/>
    <w:tmpl w:val="18A49B3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57528"/>
    <w:multiLevelType w:val="hybridMultilevel"/>
    <w:tmpl w:val="AAA62BC2"/>
    <w:lvl w:ilvl="0" w:tplc="DA2A16F2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8621F"/>
    <w:multiLevelType w:val="hybridMultilevel"/>
    <w:tmpl w:val="569E874E"/>
    <w:lvl w:ilvl="0" w:tplc="37BA45E2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0113F"/>
    <w:multiLevelType w:val="hybridMultilevel"/>
    <w:tmpl w:val="820C88D4"/>
    <w:lvl w:ilvl="0" w:tplc="D206ABE8">
      <w:start w:val="1"/>
      <w:numFmt w:val="bullet"/>
      <w:lvlText w:val=""/>
      <w:lvlJc w:val="left"/>
      <w:pPr>
        <w:ind w:left="360" w:hanging="360"/>
      </w:pPr>
      <w:rPr>
        <w:rFonts w:ascii="Wingdings 3" w:hAnsi="Wingdings 3" w:hint="default"/>
        <w:color w:val="0070C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97433737">
    <w:abstractNumId w:val="1"/>
  </w:num>
  <w:num w:numId="2" w16cid:durableId="91710537">
    <w:abstractNumId w:val="0"/>
  </w:num>
  <w:num w:numId="3" w16cid:durableId="27874560">
    <w:abstractNumId w:val="2"/>
  </w:num>
  <w:num w:numId="4" w16cid:durableId="1153839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F9"/>
    <w:rsid w:val="00030FCF"/>
    <w:rsid w:val="00066A57"/>
    <w:rsid w:val="000772A7"/>
    <w:rsid w:val="00086B51"/>
    <w:rsid w:val="000C2A8D"/>
    <w:rsid w:val="000C5DA8"/>
    <w:rsid w:val="000F1511"/>
    <w:rsid w:val="001019F9"/>
    <w:rsid w:val="00114F6D"/>
    <w:rsid w:val="001263FA"/>
    <w:rsid w:val="00155209"/>
    <w:rsid w:val="0017143B"/>
    <w:rsid w:val="001C5115"/>
    <w:rsid w:val="001D0AA5"/>
    <w:rsid w:val="001F041D"/>
    <w:rsid w:val="001F7A3E"/>
    <w:rsid w:val="00212CCE"/>
    <w:rsid w:val="002532B3"/>
    <w:rsid w:val="00283F63"/>
    <w:rsid w:val="002861F8"/>
    <w:rsid w:val="002A04B2"/>
    <w:rsid w:val="002A5DC7"/>
    <w:rsid w:val="002E2A05"/>
    <w:rsid w:val="00310B4F"/>
    <w:rsid w:val="0031332B"/>
    <w:rsid w:val="00360C47"/>
    <w:rsid w:val="00363E92"/>
    <w:rsid w:val="003710AA"/>
    <w:rsid w:val="003B634F"/>
    <w:rsid w:val="003C6901"/>
    <w:rsid w:val="003E6198"/>
    <w:rsid w:val="003F5EDD"/>
    <w:rsid w:val="0042607A"/>
    <w:rsid w:val="00460E5E"/>
    <w:rsid w:val="004C78AE"/>
    <w:rsid w:val="004D0219"/>
    <w:rsid w:val="00502F58"/>
    <w:rsid w:val="0052166E"/>
    <w:rsid w:val="00566066"/>
    <w:rsid w:val="005A4175"/>
    <w:rsid w:val="005B7829"/>
    <w:rsid w:val="005C2295"/>
    <w:rsid w:val="005D2B12"/>
    <w:rsid w:val="006055FE"/>
    <w:rsid w:val="0064534F"/>
    <w:rsid w:val="0064653F"/>
    <w:rsid w:val="00672603"/>
    <w:rsid w:val="0067505C"/>
    <w:rsid w:val="006D01A6"/>
    <w:rsid w:val="006E630C"/>
    <w:rsid w:val="006F3450"/>
    <w:rsid w:val="00713DF8"/>
    <w:rsid w:val="00750D2A"/>
    <w:rsid w:val="00762CFE"/>
    <w:rsid w:val="007A627A"/>
    <w:rsid w:val="007B0619"/>
    <w:rsid w:val="007B0651"/>
    <w:rsid w:val="007B2CC7"/>
    <w:rsid w:val="00847510"/>
    <w:rsid w:val="008604A3"/>
    <w:rsid w:val="008711E8"/>
    <w:rsid w:val="00872C33"/>
    <w:rsid w:val="00885124"/>
    <w:rsid w:val="008A5DD2"/>
    <w:rsid w:val="008B57A4"/>
    <w:rsid w:val="008F4FF6"/>
    <w:rsid w:val="008F5630"/>
    <w:rsid w:val="00943735"/>
    <w:rsid w:val="009620BA"/>
    <w:rsid w:val="00966357"/>
    <w:rsid w:val="00980C5E"/>
    <w:rsid w:val="00980D92"/>
    <w:rsid w:val="00986917"/>
    <w:rsid w:val="009C3A7E"/>
    <w:rsid w:val="009D27DB"/>
    <w:rsid w:val="00A254F9"/>
    <w:rsid w:val="00A27505"/>
    <w:rsid w:val="00A27FB2"/>
    <w:rsid w:val="00A43E8C"/>
    <w:rsid w:val="00A47F7F"/>
    <w:rsid w:val="00A76038"/>
    <w:rsid w:val="00A815A3"/>
    <w:rsid w:val="00A949C9"/>
    <w:rsid w:val="00AE4C46"/>
    <w:rsid w:val="00AF1CDE"/>
    <w:rsid w:val="00AF5B8F"/>
    <w:rsid w:val="00B45E31"/>
    <w:rsid w:val="00B74AE5"/>
    <w:rsid w:val="00BA0460"/>
    <w:rsid w:val="00BB1FCA"/>
    <w:rsid w:val="00C10349"/>
    <w:rsid w:val="00C14A54"/>
    <w:rsid w:val="00C3390C"/>
    <w:rsid w:val="00C362FC"/>
    <w:rsid w:val="00C64803"/>
    <w:rsid w:val="00C64CDD"/>
    <w:rsid w:val="00C87152"/>
    <w:rsid w:val="00CB2699"/>
    <w:rsid w:val="00CF6679"/>
    <w:rsid w:val="00D025E0"/>
    <w:rsid w:val="00D049E6"/>
    <w:rsid w:val="00D147A7"/>
    <w:rsid w:val="00D22730"/>
    <w:rsid w:val="00D251E7"/>
    <w:rsid w:val="00D47B71"/>
    <w:rsid w:val="00D51F3C"/>
    <w:rsid w:val="00D543D3"/>
    <w:rsid w:val="00D569E1"/>
    <w:rsid w:val="00D614D8"/>
    <w:rsid w:val="00D670C1"/>
    <w:rsid w:val="00DB49E7"/>
    <w:rsid w:val="00DC00C0"/>
    <w:rsid w:val="00DE4922"/>
    <w:rsid w:val="00E277A7"/>
    <w:rsid w:val="00E80864"/>
    <w:rsid w:val="00E9793A"/>
    <w:rsid w:val="00EC379D"/>
    <w:rsid w:val="00ED7F75"/>
    <w:rsid w:val="00F06E5B"/>
    <w:rsid w:val="00F22E5C"/>
    <w:rsid w:val="00F57A09"/>
    <w:rsid w:val="00FB0A8E"/>
    <w:rsid w:val="00FD7779"/>
    <w:rsid w:val="52BC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2692D"/>
  <w15:chartTrackingRefBased/>
  <w15:docId w15:val="{896D41C6-5C16-4463-9AC8-338B35F3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D92"/>
  </w:style>
  <w:style w:type="paragraph" w:styleId="Titre1">
    <w:name w:val="heading 1"/>
    <w:basedOn w:val="Normal"/>
    <w:next w:val="Normal"/>
    <w:link w:val="Titre1Car"/>
    <w:uiPriority w:val="9"/>
    <w:qFormat/>
    <w:rsid w:val="00D227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61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50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772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2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D227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2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E619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E61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750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0772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ienhypertexte">
    <w:name w:val="Hyperlink"/>
    <w:basedOn w:val="Policepardfaut"/>
    <w:uiPriority w:val="99"/>
    <w:unhideWhenUsed/>
    <w:rsid w:val="008F5630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C5DA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80C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3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tanbih.qcri.org/" TargetMode="Externa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t.qcri.org/api" TargetMode="External"/><Relationship Id="rId17" Type="http://schemas.openxmlformats.org/officeDocument/2006/relationships/hyperlink" Target="https://tts.qcri.or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kanari.ai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sad.qcri.org/" TargetMode="External"/><Relationship Id="rId5" Type="http://schemas.openxmlformats.org/officeDocument/2006/relationships/styles" Target="styles.xml"/><Relationship Id="rId15" Type="http://schemas.openxmlformats.org/officeDocument/2006/relationships/hyperlink" Target="https://qats.qcri.org/" TargetMode="External"/><Relationship Id="rId10" Type="http://schemas.openxmlformats.org/officeDocument/2006/relationships/hyperlink" Target="https://farasa.qcri.org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obs@qcri.org" TargetMode="External"/><Relationship Id="rId14" Type="http://schemas.openxmlformats.org/officeDocument/2006/relationships/hyperlink" Target="https://neurox.qcri.org/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492E82503950478992847FCF8C4ACB" ma:contentTypeVersion="14" ma:contentTypeDescription="Create a new document." ma:contentTypeScope="" ma:versionID="593751ecc00ef2fd910b9db6cfa7eb8a">
  <xsd:schema xmlns:xsd="http://www.w3.org/2001/XMLSchema" xmlns:xs="http://www.w3.org/2001/XMLSchema" xmlns:p="http://schemas.microsoft.com/office/2006/metadata/properties" xmlns:ns2="b4bfafe9-40b0-44b4-b970-dd466e9496c3" xmlns:ns3="34670cbe-63cf-4a4c-8bb8-7babe877b76e" targetNamespace="http://schemas.microsoft.com/office/2006/metadata/properties" ma:root="true" ma:fieldsID="1475d09094af7b12bb90e07116f237e3" ns2:_="" ns3:_="">
    <xsd:import namespace="b4bfafe9-40b0-44b4-b970-dd466e9496c3"/>
    <xsd:import namespace="34670cbe-63cf-4a4c-8bb8-7babe877b7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fafe9-40b0-44b4-b970-dd466e9496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015a593-2696-47c9-b74b-98df4c1722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670cbe-63cf-4a4c-8bb8-7babe877b76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638e58f4-bec1-4000-bd51-1b3fd77006b8}" ma:internalName="TaxCatchAll" ma:showField="CatchAllData" ma:web="34670cbe-63cf-4a4c-8bb8-7babe877b7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4D5486-A202-4EE1-BCA7-6F382EE7CA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EAD120-2846-454A-AD1B-FC39E89C4D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D26333F-92BD-4C7F-B83D-4A4713563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bfafe9-40b0-44b4-b970-dd466e9496c3"/>
    <ds:schemaRef ds:uri="34670cbe-63cf-4a4c-8bb8-7babe877b7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822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Natasa Milic-Frayling</dc:creator>
  <cp:keywords/>
  <dc:description/>
  <cp:lastModifiedBy>HSAINI Noussaiba 1</cp:lastModifiedBy>
  <cp:revision>2</cp:revision>
  <cp:lastPrinted>2022-04-24T17:10:00Z</cp:lastPrinted>
  <dcterms:created xsi:type="dcterms:W3CDTF">2025-06-18T03:30:00Z</dcterms:created>
  <dcterms:modified xsi:type="dcterms:W3CDTF">2025-06-18T03:30:00Z</dcterms:modified>
</cp:coreProperties>
</file>