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center"/>
        <w:rPr>
          <w:rFonts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CIT</w:t>
      </w:r>
      <w:bookmarkStart w:id="0" w:name="_GoBack"/>
      <w:bookmarkEnd w:id="0"/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ACIÓN JUNTA EXTRAORDINARIA DE ACCIONISTAS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LIPULLI SERVICIOS Y DESARROLLO SpA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En conformidad a lo establecido en el artículo Décimo Segundo de los estatutos de la sociedad 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Lipulli Servicios y Desarrollo SpA</w:t>
      </w: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 se cita a Junta Extraordinaria de Accionistas para tratar materias de Junta Ordinaria y Extraordinaria, para el día 27 de junio de 2023, a las 18:00 horas, la que se realizará mediante video conferencia incorporando medios tecnológicos que permitan la participación y votación a distancia y cuyo link de conexión se informará oportunamente, a fin de tratar las siguientes materias: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1. Examen de la situación de la sociedad, de los Estados Financieros y balance de la sociedad por el ejercicio correspondientes al año 2022.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2. Reparto de utilidades, si correspondiere.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3. Designación de Auditores Externos o inspectores de cuentas;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4. Determinación del Diario donde deben publicarse los avisos y convocatoria a las juntas.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5. Conocer y aprobar la construcción de una vivienda para el cuidador del Loteo Lipulli Meu Namonchaue.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6. Otras materias de interés social.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De acuerdo a lo dispuesto en el artículo 62 de la Ley de Sociedades Anónimas, podrán participar en la junta, con los derechos que la ley y los estatutos les otorgan, los accionistas titulares de acciones que al momento de iniciarse la junta figuren como accionistas en el Registro de Accionistas de la sociedad.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La calificación de poderes, si procediere, se efectuará el mismo día en que se realice la junta, en el lugar de su celebración y a la hora en que deba iniciarse.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3" w:beforeAutospacing="0" w:after="133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5F5F5F"/>
          <w:spacing w:val="0"/>
          <w:sz w:val="17"/>
          <w:szCs w:val="17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5F5F5F"/>
          <w:spacing w:val="0"/>
          <w:sz w:val="17"/>
          <w:szCs w:val="17"/>
          <w:bdr w:val="none" w:color="auto" w:sz="0" w:space="0"/>
          <w:shd w:val="clear" w:fill="FFFFFF"/>
        </w:rPr>
        <w:t>Gerente General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6135F"/>
    <w:rsid w:val="1EA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2023-06-15T17:08:00Z</dcterms:created>
  <dc:creator>Jose Zapata</dc:creator>
  <cp:lastModifiedBy>Jose Zapata</cp:lastModifiedBy>
  <dcterms:modified xsi:type="dcterms:W3CDTF">2023-06-15T17:08:41Z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646A98A7E384492D9A8ED5CA44379C84</vt:lpwstr>
  </property>
</Properties>
</file>