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2A"/>
          <w:sz w:val="40"/>
        </w:rPr>
        <w:t>中国政法大学国际合作通知公告观察站</w:t>
      </w:r>
    </w:p>
    <w:p>
      <w:pPr>
        <w:jc w:val="center"/>
      </w:pPr>
      <w:r>
        <w:rPr>
          <w:sz w:val="24"/>
        </w:rPr>
        <w:t>创新创业项目说明 / Project Proposal</w:t>
      </w:r>
    </w:p>
    <w:p>
      <w:r>
        <w:rPr>
          <w:b/>
          <w:color w:val="1E4F9A"/>
          <w:sz w:val="28"/>
        </w:rPr>
        <w:t>一、项目概述</w:t>
      </w:r>
    </w:p>
    <w:p>
      <w:pPr>
        <w:spacing w:after="100" w:line="283" w:lineRule="auto"/>
      </w:pPr>
      <w:r>
        <w:t>本项目面向中国政法大学学生、教师和国际交流项目团队，归档出国境申请管理平台公开新闻公告，提供每日自动更新、历史留存、关键词检索和结构化导出。</w:t>
      </w:r>
    </w:p>
    <w:p>
      <w:r>
        <w:rPr>
          <w:b/>
          <w:color w:val="1E4F9A"/>
          <w:sz w:val="28"/>
        </w:rPr>
        <w:t>二、问题背景</w:t>
      </w:r>
    </w:p>
    <w:p>
      <w:pPr>
        <w:spacing w:after="100" w:line="283" w:lineRule="auto"/>
      </w:pPr>
      <w:r>
        <w:t>国际交流、访学、冬夏令营、资助申请等通知具有明显时效性。单纯依赖网页浏览容易遗漏历史信息，也不便于后续统计和申报材料整理。</w:t>
      </w:r>
    </w:p>
    <w:p>
      <w:r>
        <w:rPr>
          <w:b/>
          <w:color w:val="1E4F9A"/>
          <w:sz w:val="28"/>
        </w:rPr>
        <w:t>三、目标用户</w:t>
      </w:r>
    </w:p>
    <w:p>
      <w:pPr>
        <w:spacing w:after="100" w:line="283" w:lineRule="auto"/>
      </w:pPr>
      <w:r>
        <w:t>目标用户包括关注国际交流项目的本科生、研究生、辅导员、学院外事秘书、创新创业团队和数据分析学习者。</w:t>
      </w:r>
    </w:p>
    <w:p>
      <w:r>
        <w:rPr>
          <w:b/>
          <w:color w:val="1E4F9A"/>
          <w:sz w:val="28"/>
        </w:rPr>
        <w:t>四、创新点</w:t>
      </w:r>
    </w:p>
    <w:p>
      <w:pPr>
        <w:spacing w:after="100" w:line="283" w:lineRule="auto"/>
      </w:pPr>
      <w:r>
        <w:t>项目将公开通知转化为可持续更新的数据资产，使用 GitHub Actions 进行每日抓取，并提供静态前端看板，便于低成本部署和长期维护。</w:t>
      </w:r>
    </w:p>
    <w:p>
      <w:r>
        <w:rPr>
          <w:b/>
          <w:color w:val="1E4F9A"/>
          <w:sz w:val="28"/>
        </w:rPr>
        <w:t>五、技术路线</w:t>
      </w:r>
    </w:p>
    <w:p>
      <w:pPr>
        <w:spacing w:after="100" w:line="283" w:lineRule="auto"/>
      </w:pPr>
      <w:r>
        <w:t>爬虫从目标站点公开 JavaScript 中反查新闻公告接口 /api/news/query，按 notice 和 trend 分类请求，字段统一为 title、date、url、section、source_url、first_seen_at、last_seen_at。若运行环境触发站点防护导致接口返回 HTML 或 HTTP 412，程序不会破坏历史数据，会将诊断写入 data/meta.json，便于后续调整运行环境。</w:t>
      </w:r>
    </w:p>
    <w:p>
      <w:r>
        <w:rPr>
          <w:b/>
          <w:color w:val="1E4F9A"/>
          <w:sz w:val="28"/>
        </w:rPr>
        <w:t>六、系统架构图</w:t>
      </w:r>
    </w:p>
    <w:p>
      <w:r>
        <w:drawing>
          <wp:inline xmlns:a="http://schemas.openxmlformats.org/drawingml/2006/main" xmlns:pic="http://schemas.openxmlformats.org/drawingml/2006/picture">
            <wp:extent cx="5852160" cy="2766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E4F9A"/>
          <w:sz w:val="28"/>
        </w:rPr>
        <w:t>七、前端界面示意</w:t>
      </w:r>
    </w:p>
    <w:p>
      <w:r>
        <w:drawing>
          <wp:inline xmlns:a="http://schemas.openxmlformats.org/drawingml/2006/main" xmlns:pic="http://schemas.openxmlformats.org/drawingml/2006/picture">
            <wp:extent cx="5852160" cy="370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E4F9A"/>
          <w:sz w:val="28"/>
        </w:rPr>
        <w:t>八、数据结构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字段</w:t>
            </w:r>
          </w:p>
        </w:tc>
        <w:tc>
          <w:tcPr>
            <w:tcW w:type="dxa" w:w="4997"/>
          </w:tcPr>
          <w:p>
            <w:r>
              <w:t>含义</w:t>
            </w:r>
          </w:p>
        </w:tc>
      </w:tr>
      <w:tr>
        <w:tc>
          <w:tcPr>
            <w:tcW w:type="dxa" w:w="4997"/>
          </w:tcPr>
          <w:p>
            <w:r>
              <w:t>id</w:t>
            </w:r>
          </w:p>
        </w:tc>
        <w:tc>
          <w:tcPr>
            <w:tcW w:type="dxa" w:w="4997"/>
          </w:tcPr>
          <w:p>
            <w:r>
              <w:t>公告链接哈希</w:t>
            </w:r>
          </w:p>
        </w:tc>
      </w:tr>
      <w:tr>
        <w:tc>
          <w:tcPr>
            <w:tcW w:type="dxa" w:w="4997"/>
          </w:tcPr>
          <w:p>
            <w:r>
              <w:t>title</w:t>
            </w:r>
          </w:p>
        </w:tc>
        <w:tc>
          <w:tcPr>
            <w:tcW w:type="dxa" w:w="4997"/>
          </w:tcPr>
          <w:p>
            <w:r>
              <w:t>公告标题</w:t>
            </w:r>
          </w:p>
        </w:tc>
      </w:tr>
      <w:tr>
        <w:tc>
          <w:tcPr>
            <w:tcW w:type="dxa" w:w="4997"/>
          </w:tcPr>
          <w:p>
            <w:r>
              <w:t>date</w:t>
            </w:r>
          </w:p>
        </w:tc>
        <w:tc>
          <w:tcPr>
            <w:tcW w:type="dxa" w:w="4997"/>
          </w:tcPr>
          <w:p>
            <w:r>
              <w:t>公告日期</w:t>
            </w:r>
          </w:p>
        </w:tc>
      </w:tr>
      <w:tr>
        <w:tc>
          <w:tcPr>
            <w:tcW w:type="dxa" w:w="4997"/>
          </w:tcPr>
          <w:p>
            <w:r>
              <w:t>url</w:t>
            </w:r>
          </w:p>
        </w:tc>
        <w:tc>
          <w:tcPr>
            <w:tcW w:type="dxa" w:w="4997"/>
          </w:tcPr>
          <w:p>
            <w:r>
              <w:t>官方详情页</w:t>
            </w:r>
          </w:p>
        </w:tc>
      </w:tr>
      <w:tr>
        <w:tc>
          <w:tcPr>
            <w:tcW w:type="dxa" w:w="4997"/>
          </w:tcPr>
          <w:p>
            <w:r>
              <w:t>section</w:t>
            </w:r>
          </w:p>
        </w:tc>
        <w:tc>
          <w:tcPr>
            <w:tcW w:type="dxa" w:w="4997"/>
          </w:tcPr>
          <w:p>
            <w:r>
              <w:t>通知公告或新闻动态</w:t>
            </w:r>
          </w:p>
        </w:tc>
      </w:tr>
      <w:tr>
        <w:tc>
          <w:tcPr>
            <w:tcW w:type="dxa" w:w="4997"/>
          </w:tcPr>
          <w:p>
            <w:r>
              <w:t>first_seen_at</w:t>
            </w:r>
          </w:p>
        </w:tc>
        <w:tc>
          <w:tcPr>
            <w:tcW w:type="dxa" w:w="4997"/>
          </w:tcPr>
          <w:p>
            <w:r>
              <w:t>首次发现时间</w:t>
            </w:r>
          </w:p>
        </w:tc>
      </w:tr>
      <w:tr>
        <w:tc>
          <w:tcPr>
            <w:tcW w:type="dxa" w:w="4997"/>
          </w:tcPr>
          <w:p>
            <w:r>
              <w:t>last_seen_at</w:t>
            </w:r>
          </w:p>
        </w:tc>
        <w:tc>
          <w:tcPr>
            <w:tcW w:type="dxa" w:w="4997"/>
          </w:tcPr>
          <w:p>
            <w:r>
              <w:t>最近发现时间</w:t>
            </w:r>
          </w:p>
        </w:tc>
      </w:tr>
    </w:tbl>
    <w:p>
      <w:r>
        <w:rPr>
          <w:b/>
          <w:color w:val="1E4F9A"/>
          <w:sz w:val="28"/>
        </w:rPr>
        <w:t>九、合规说明</w:t>
      </w:r>
    </w:p>
    <w:p>
      <w:pPr>
        <w:spacing w:after="100" w:line="283" w:lineRule="auto"/>
      </w:pPr>
      <w:r>
        <w:t>项目仅访问公开网页和公开接口，不绕过访问控制，不采集个人隐私数据，不代表中国政法大学官方。公告内容以学校官方页面为准。</w:t>
      </w:r>
    </w:p>
    <w:p>
      <w:r>
        <w:rPr>
          <w:b/>
          <w:color w:val="1E4F9A"/>
          <w:sz w:val="28"/>
        </w:rPr>
        <w:t>十、应用价值与后续扩展</w:t>
      </w:r>
    </w:p>
    <w:p>
      <w:pPr>
        <w:spacing w:after="100" w:line="283" w:lineRule="auto"/>
      </w:pPr>
      <w:r>
        <w:t>项目可扩展为多个学院和处室的统一通知数据平台，为学生申报、学院管理、机会追踪和公开数据教学提供基础样例。后续可增加关键词订阅、跨站聚合、邮件提醒和 GitHub Pages 发布。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